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C1BF7" w14:textId="77777777" w:rsidR="00883B18" w:rsidRDefault="00883B18" w:rsidP="00B15F57">
      <w:pPr>
        <w:ind w:left="-426"/>
        <w:rPr>
          <w:b/>
        </w:rPr>
      </w:pPr>
    </w:p>
    <w:p w14:paraId="33799664" w14:textId="77777777" w:rsidR="00883B18" w:rsidRDefault="00883B18" w:rsidP="00B15F57">
      <w:pPr>
        <w:ind w:left="-426"/>
        <w:rPr>
          <w:b/>
        </w:rPr>
      </w:pPr>
    </w:p>
    <w:p w14:paraId="5A8B54FD" w14:textId="77777777" w:rsidR="00736E1B" w:rsidRDefault="00A425E1" w:rsidP="00B15F57">
      <w:pPr>
        <w:ind w:left="-426"/>
        <w:rPr>
          <w:b/>
        </w:rPr>
      </w:pPr>
      <w:r>
        <w:rPr>
          <w:b/>
        </w:rPr>
        <w:t xml:space="preserve">AGREED ON </w:t>
      </w:r>
      <w:r w:rsidR="003E5BB6">
        <w:rPr>
          <w:b/>
        </w:rPr>
        <w:t>‘STANDBY’</w:t>
      </w:r>
      <w:r>
        <w:rPr>
          <w:b/>
        </w:rPr>
        <w:t xml:space="preserve"> </w:t>
      </w:r>
      <w:r w:rsidR="003E5BB6">
        <w:rPr>
          <w:b/>
        </w:rPr>
        <w:t>‘CALL OUT’</w:t>
      </w:r>
      <w:r>
        <w:rPr>
          <w:b/>
        </w:rPr>
        <w:t xml:space="preserve"> ARRANGEMENTS</w:t>
      </w:r>
    </w:p>
    <w:p w14:paraId="2E4865DF" w14:textId="77777777" w:rsidR="001B0D15" w:rsidRDefault="001B0D15" w:rsidP="00B15F57">
      <w:pPr>
        <w:ind w:left="-426"/>
        <w:rPr>
          <w:b/>
        </w:rPr>
      </w:pPr>
    </w:p>
    <w:p w14:paraId="2A78EE6F" w14:textId="77777777" w:rsidR="001B0D15" w:rsidRDefault="001B0D15" w:rsidP="00B15F57">
      <w:pPr>
        <w:ind w:left="-426"/>
        <w:rPr>
          <w:b/>
        </w:rPr>
      </w:pPr>
      <w:r>
        <w:rPr>
          <w:b/>
        </w:rPr>
        <w:t xml:space="preserve">Formal </w:t>
      </w:r>
      <w:r w:rsidR="003E5BB6">
        <w:rPr>
          <w:b/>
        </w:rPr>
        <w:t>‘standby’</w:t>
      </w:r>
      <w:r>
        <w:rPr>
          <w:b/>
        </w:rPr>
        <w:t xml:space="preserve"> Payments</w:t>
      </w:r>
    </w:p>
    <w:p w14:paraId="7C5FEAAB" w14:textId="77777777" w:rsidR="001B0D15" w:rsidRDefault="001B0D15" w:rsidP="00B15F57">
      <w:pPr>
        <w:ind w:left="-426"/>
        <w:rPr>
          <w:b/>
        </w:rPr>
      </w:pPr>
    </w:p>
    <w:p w14:paraId="06BA93DE" w14:textId="77777777" w:rsidR="001B0D15" w:rsidRPr="005A42C8" w:rsidRDefault="001B0D15" w:rsidP="00B835ED">
      <w:pPr>
        <w:pStyle w:val="ListParagraph"/>
        <w:numPr>
          <w:ilvl w:val="0"/>
          <w:numId w:val="16"/>
        </w:numPr>
        <w:ind w:left="0" w:hanging="425"/>
        <w:rPr>
          <w:b/>
        </w:rPr>
      </w:pPr>
      <w:r>
        <w:t>C</w:t>
      </w:r>
      <w:r w:rsidRPr="00BF4DF9">
        <w:t xml:space="preserve">urrent rates and arrangements as detailed in the Single Status Agreement </w:t>
      </w:r>
      <w:r>
        <w:t>to continue unchanged</w:t>
      </w:r>
      <w:r w:rsidR="00C5302A">
        <w:t xml:space="preserve"> i.e.:</w:t>
      </w:r>
      <w:r>
        <w:t xml:space="preserve">  </w:t>
      </w:r>
      <w:r>
        <w:tab/>
      </w:r>
      <w:r w:rsidRPr="00BF4DF9">
        <w:br/>
      </w:r>
    </w:p>
    <w:p w14:paraId="3EC754EF" w14:textId="77777777" w:rsidR="00B835ED" w:rsidRPr="005A42C8" w:rsidRDefault="00B835ED" w:rsidP="00B835ED">
      <w:pPr>
        <w:pStyle w:val="Default"/>
        <w:ind w:right="-188"/>
      </w:pPr>
      <w:r w:rsidRPr="005A42C8">
        <w:t xml:space="preserve">Weekday payments for any employee who is required to be on standby from 6.00 pm to 8.00 am, Monday to Friday. </w:t>
      </w:r>
    </w:p>
    <w:p w14:paraId="001231E4" w14:textId="77777777" w:rsidR="005A42C8" w:rsidRPr="005A42C8" w:rsidRDefault="005A42C8" w:rsidP="00B835ED">
      <w:pPr>
        <w:pStyle w:val="Default"/>
        <w:ind w:right="-188"/>
      </w:pPr>
    </w:p>
    <w:p w14:paraId="55109BDE" w14:textId="77777777" w:rsidR="00B835ED" w:rsidRPr="005A42C8" w:rsidRDefault="00B835ED" w:rsidP="00B835ED">
      <w:pPr>
        <w:pStyle w:val="Default"/>
      </w:pPr>
      <w:r w:rsidRPr="005A42C8">
        <w:t xml:space="preserve">Weekend payments for any employee who is required to be on standby from 8.00 am to 8.00 am, Saturday and Sunday. </w:t>
      </w:r>
    </w:p>
    <w:p w14:paraId="79387BA6" w14:textId="77777777" w:rsidR="00B835ED" w:rsidRPr="005A42C8" w:rsidRDefault="00B835ED" w:rsidP="00B835ED">
      <w:pPr>
        <w:pStyle w:val="Default"/>
      </w:pPr>
    </w:p>
    <w:p w14:paraId="06EC7B48" w14:textId="5DBF3F96" w:rsidR="00B835ED" w:rsidRPr="007B2295" w:rsidRDefault="005A42C8" w:rsidP="00B835ED">
      <w:pPr>
        <w:pStyle w:val="Default"/>
        <w:rPr>
          <w:b/>
        </w:rPr>
      </w:pPr>
      <w:r w:rsidRPr="007B2295">
        <w:rPr>
          <w:b/>
        </w:rPr>
        <w:t>Standby per night: £2</w:t>
      </w:r>
      <w:r w:rsidR="000C4BBC">
        <w:rPr>
          <w:b/>
        </w:rPr>
        <w:t>5</w:t>
      </w:r>
      <w:r w:rsidR="007B2295" w:rsidRPr="007B2295">
        <w:rPr>
          <w:b/>
        </w:rPr>
        <w:t>.</w:t>
      </w:r>
      <w:r w:rsidR="000C4BBC">
        <w:rPr>
          <w:b/>
        </w:rPr>
        <w:t>85</w:t>
      </w:r>
      <w:r w:rsidR="00B835ED" w:rsidRPr="007B2295">
        <w:rPr>
          <w:b/>
        </w:rPr>
        <w:t xml:space="preserve"> </w:t>
      </w:r>
      <w:r w:rsidRPr="007B2295">
        <w:rPr>
          <w:b/>
        </w:rPr>
        <w:t>(w.e.f. 01.04.</w:t>
      </w:r>
      <w:r w:rsidR="000C4BBC">
        <w:rPr>
          <w:b/>
        </w:rPr>
        <w:t>22</w:t>
      </w:r>
      <w:r w:rsidRPr="007B2295">
        <w:rPr>
          <w:b/>
        </w:rPr>
        <w:t>)</w:t>
      </w:r>
    </w:p>
    <w:p w14:paraId="2A37256A" w14:textId="77777777" w:rsidR="000C4BBC" w:rsidRDefault="007B2295" w:rsidP="000C4BBC">
      <w:pPr>
        <w:pStyle w:val="Default"/>
      </w:pPr>
      <w:r w:rsidRPr="007B2295">
        <w:rPr>
          <w:b/>
        </w:rPr>
        <w:t xml:space="preserve">Standby per day: </w:t>
      </w:r>
      <w:r w:rsidR="000C4BBC" w:rsidRPr="000C4BBC">
        <w:rPr>
          <w:b/>
          <w:bCs/>
        </w:rPr>
        <w:t>£41.88</w:t>
      </w:r>
    </w:p>
    <w:p w14:paraId="39416556" w14:textId="77777777" w:rsidR="005A42C8" w:rsidRPr="005A42C8" w:rsidRDefault="005A42C8" w:rsidP="00B835ED">
      <w:pPr>
        <w:pStyle w:val="Default"/>
      </w:pPr>
    </w:p>
    <w:p w14:paraId="1CD96C49" w14:textId="77777777" w:rsidR="00B835ED" w:rsidRPr="005A42C8" w:rsidRDefault="00B835ED" w:rsidP="00B835ED">
      <w:pPr>
        <w:pStyle w:val="Default"/>
      </w:pPr>
      <w:r w:rsidRPr="005A42C8">
        <w:t>Alternatively, an inclusive standby payment per week (</w:t>
      </w:r>
      <w:proofErr w:type="spellStart"/>
      <w:proofErr w:type="gramStart"/>
      <w:r w:rsidRPr="005A42C8">
        <w:t>ie</w:t>
      </w:r>
      <w:proofErr w:type="spellEnd"/>
      <w:proofErr w:type="gramEnd"/>
      <w:r w:rsidRPr="005A42C8">
        <w:t xml:space="preserve"> 5 nights and a 2 day weekend) may be made. </w:t>
      </w:r>
    </w:p>
    <w:p w14:paraId="5C1BF067" w14:textId="77777777" w:rsidR="005A42C8" w:rsidRPr="005A42C8" w:rsidRDefault="005A42C8" w:rsidP="00B835ED">
      <w:pPr>
        <w:pStyle w:val="Default"/>
      </w:pPr>
    </w:p>
    <w:p w14:paraId="36E28EFD" w14:textId="77777777" w:rsidR="00B835ED" w:rsidRPr="005A42C8" w:rsidRDefault="00B835ED" w:rsidP="00B835ED">
      <w:r w:rsidRPr="005A42C8">
        <w:t>Where an employee is required to be on standby for the whole week including a Bank Holiday weekend (</w:t>
      </w:r>
      <w:proofErr w:type="spellStart"/>
      <w:r w:rsidRPr="005A42C8">
        <w:t>ie</w:t>
      </w:r>
      <w:proofErr w:type="spellEnd"/>
      <w:r w:rsidRPr="005A42C8">
        <w:t xml:space="preserve"> the preceding Friday and/or following Monday), the </w:t>
      </w:r>
      <w:r w:rsidR="005A42C8" w:rsidRPr="005A42C8">
        <w:t xml:space="preserve">weekly </w:t>
      </w:r>
      <w:r w:rsidRPr="005A42C8">
        <w:t>payment will be made and time off in lieu given for the Bank Holiday(s) worked.</w:t>
      </w:r>
    </w:p>
    <w:p w14:paraId="2C944525" w14:textId="77777777" w:rsidR="005A42C8" w:rsidRPr="005A42C8" w:rsidRDefault="005A42C8" w:rsidP="00B835ED"/>
    <w:p w14:paraId="4F2D6FFC" w14:textId="77777777" w:rsidR="005A42C8" w:rsidRPr="005A42C8" w:rsidRDefault="005A42C8" w:rsidP="005A42C8">
      <w:pPr>
        <w:pStyle w:val="ListParagraph"/>
        <w:numPr>
          <w:ilvl w:val="0"/>
          <w:numId w:val="16"/>
        </w:numPr>
        <w:ind w:left="0" w:hanging="426"/>
        <w:rPr>
          <w:b/>
        </w:rPr>
      </w:pPr>
      <w:r>
        <w:t>Formal ‘standby’ payments only to be paid</w:t>
      </w:r>
      <w:r w:rsidRPr="00BF4DF9">
        <w:t xml:space="preserve"> to those officers </w:t>
      </w:r>
      <w:r>
        <w:t>detailed below</w:t>
      </w:r>
      <w:r w:rsidRPr="00BF4DF9">
        <w:t>.</w:t>
      </w:r>
    </w:p>
    <w:p w14:paraId="1D2E04B2" w14:textId="77777777" w:rsidR="005A42C8" w:rsidRPr="005A42C8" w:rsidRDefault="005A42C8" w:rsidP="005A42C8">
      <w:pPr>
        <w:pStyle w:val="ListParagraph"/>
        <w:ind w:left="0"/>
        <w:rPr>
          <w:b/>
        </w:rPr>
      </w:pPr>
    </w:p>
    <w:p w14:paraId="0976D498" w14:textId="77777777" w:rsidR="001B0D15" w:rsidRDefault="001B0D15" w:rsidP="00B15F57">
      <w:pPr>
        <w:pStyle w:val="ListParagraph"/>
        <w:numPr>
          <w:ilvl w:val="0"/>
          <w:numId w:val="16"/>
        </w:numPr>
        <w:ind w:left="0" w:hanging="425"/>
      </w:pPr>
      <w:r>
        <w:t xml:space="preserve">Additional arrangements and payment for </w:t>
      </w:r>
      <w:r w:rsidRPr="00BF4DF9">
        <w:t xml:space="preserve">formal </w:t>
      </w:r>
      <w:r w:rsidR="003E5BB6">
        <w:t>‘standby’</w:t>
      </w:r>
      <w:r w:rsidRPr="00BF4DF9">
        <w:t xml:space="preserve"> to additional staff only to be payable if approved by CMT</w:t>
      </w:r>
    </w:p>
    <w:p w14:paraId="2EC679FA" w14:textId="77777777" w:rsidR="001B0D15" w:rsidRDefault="001B0D15" w:rsidP="00B15F57">
      <w:pPr>
        <w:ind w:left="-426"/>
      </w:pPr>
    </w:p>
    <w:p w14:paraId="0F422C7D" w14:textId="77777777" w:rsidR="001B0D15" w:rsidRDefault="00621DDB" w:rsidP="005A42C8">
      <w:pPr>
        <w:ind w:left="-426"/>
        <w:rPr>
          <w:b/>
        </w:rPr>
      </w:pPr>
      <w:r>
        <w:rPr>
          <w:b/>
        </w:rPr>
        <w:t>‘C</w:t>
      </w:r>
      <w:r w:rsidR="003E5BB6">
        <w:rPr>
          <w:b/>
        </w:rPr>
        <w:t>all out’</w:t>
      </w:r>
      <w:r w:rsidR="001B0D15" w:rsidRPr="001B0D15">
        <w:rPr>
          <w:b/>
        </w:rPr>
        <w:t xml:space="preserve"> payments </w:t>
      </w:r>
    </w:p>
    <w:p w14:paraId="78B16184" w14:textId="77777777" w:rsidR="005A42C8" w:rsidRPr="00BF4DF9" w:rsidRDefault="005A42C8" w:rsidP="005A42C8">
      <w:pPr>
        <w:ind w:left="-426"/>
      </w:pPr>
    </w:p>
    <w:p w14:paraId="47F7084D" w14:textId="7C14CD77" w:rsidR="005A42C8" w:rsidRPr="003F0CB1" w:rsidRDefault="005A42C8" w:rsidP="005A42C8">
      <w:pPr>
        <w:pStyle w:val="ListParagraph"/>
        <w:numPr>
          <w:ilvl w:val="0"/>
          <w:numId w:val="47"/>
        </w:numPr>
        <w:ind w:left="0" w:hanging="426"/>
      </w:pPr>
      <w:r w:rsidRPr="007B2295">
        <w:rPr>
          <w:b/>
        </w:rPr>
        <w:t>A fixed rate of £2</w:t>
      </w:r>
      <w:r w:rsidR="000C4BBC">
        <w:rPr>
          <w:b/>
        </w:rPr>
        <w:t>9</w:t>
      </w:r>
      <w:r w:rsidRPr="007B2295">
        <w:rPr>
          <w:b/>
        </w:rPr>
        <w:t>.</w:t>
      </w:r>
      <w:r w:rsidR="000C4BBC">
        <w:rPr>
          <w:b/>
        </w:rPr>
        <w:t>60</w:t>
      </w:r>
      <w:r w:rsidRPr="007B2295">
        <w:rPr>
          <w:b/>
        </w:rPr>
        <w:t xml:space="preserve"> </w:t>
      </w:r>
      <w:r w:rsidRPr="007B2295">
        <w:rPr>
          <w:b/>
          <w:i/>
        </w:rPr>
        <w:t>(as at 01.04.</w:t>
      </w:r>
      <w:r w:rsidR="000C4BBC">
        <w:rPr>
          <w:b/>
          <w:i/>
        </w:rPr>
        <w:t>22</w:t>
      </w:r>
      <w:r w:rsidRPr="007B2295">
        <w:rPr>
          <w:b/>
          <w:i/>
        </w:rPr>
        <w:t>)</w:t>
      </w:r>
      <w:r w:rsidRPr="003F0CB1">
        <w:t xml:space="preserve"> per hour for all employees who are called out </w:t>
      </w:r>
      <w:r w:rsidRPr="007B2295">
        <w:rPr>
          <w:b/>
        </w:rPr>
        <w:t>for the first 2 hours of each ‘call out’,</w:t>
      </w:r>
      <w:r w:rsidRPr="003F0CB1">
        <w:t xml:space="preserve"> irrespective of the employee’s substantive grade will be paid.  Hours called out in excess of the initial two hours will be paid at the hourly rate for the substantive job, with enhanced rates also being applied as appropriate (in accordance with Part 3, Paragraph 2 – Working Arrangements of the ‘green book’ as amended by local collective agreements). </w:t>
      </w:r>
    </w:p>
    <w:p w14:paraId="6B065BD8" w14:textId="77777777" w:rsidR="005A42C8" w:rsidRPr="003F0CB1" w:rsidRDefault="005A42C8" w:rsidP="005A42C8">
      <w:pPr>
        <w:pStyle w:val="ListParagraph"/>
        <w:ind w:left="0" w:hanging="426"/>
      </w:pPr>
    </w:p>
    <w:p w14:paraId="6DFE608E" w14:textId="77777777" w:rsidR="005A42C8" w:rsidRPr="003F0CB1" w:rsidRDefault="005A42C8" w:rsidP="005A42C8">
      <w:pPr>
        <w:pStyle w:val="ListParagraph"/>
        <w:numPr>
          <w:ilvl w:val="0"/>
          <w:numId w:val="32"/>
        </w:numPr>
        <w:ind w:left="0" w:hanging="426"/>
        <w:jc w:val="left"/>
      </w:pPr>
      <w:r>
        <w:t xml:space="preserve">With effect from </w:t>
      </w:r>
      <w:r w:rsidRPr="005A42C8">
        <w:t>1 October 2012</w:t>
      </w:r>
      <w:r>
        <w:t xml:space="preserve"> </w:t>
      </w:r>
      <w:r w:rsidRPr="003F0CB1">
        <w:t>payments are payable from the point that out of hours ‘work’ commences as a result of a ‘call out’, regardless of whether the officer is required to leave the home or not.</w:t>
      </w:r>
    </w:p>
    <w:p w14:paraId="52CB27CA" w14:textId="77777777" w:rsidR="005A42C8" w:rsidRPr="003F0CB1" w:rsidRDefault="005A42C8" w:rsidP="005A42C8">
      <w:pPr>
        <w:pStyle w:val="ListParagraph"/>
        <w:ind w:left="317" w:hanging="284"/>
      </w:pPr>
    </w:p>
    <w:p w14:paraId="56C24221" w14:textId="77777777" w:rsidR="005A42C8" w:rsidRPr="003F0CB1" w:rsidRDefault="005A42C8" w:rsidP="005A42C8">
      <w:pPr>
        <w:pStyle w:val="ListParagraph"/>
        <w:numPr>
          <w:ilvl w:val="0"/>
          <w:numId w:val="32"/>
        </w:numPr>
        <w:ind w:left="0" w:hanging="426"/>
        <w:jc w:val="left"/>
      </w:pPr>
      <w:r w:rsidRPr="003F0CB1">
        <w:t>Payments will be made for whole hours or part thereof</w:t>
      </w:r>
    </w:p>
    <w:p w14:paraId="756FCC58" w14:textId="77777777" w:rsidR="007B2295" w:rsidRDefault="007B2295" w:rsidP="007B2295">
      <w:pPr>
        <w:ind w:left="-426"/>
        <w:jc w:val="right"/>
      </w:pPr>
    </w:p>
    <w:p w14:paraId="5CFF3C6F" w14:textId="77777777" w:rsidR="007B2295" w:rsidRPr="00883B18" w:rsidRDefault="00883B18" w:rsidP="007B2295">
      <w:pPr>
        <w:ind w:left="-426"/>
        <w:jc w:val="right"/>
        <w:rPr>
          <w:sz w:val="20"/>
        </w:rPr>
      </w:pPr>
      <w:r w:rsidRPr="00883B18">
        <w:rPr>
          <w:sz w:val="20"/>
        </w:rPr>
        <w:t xml:space="preserve">Amended with revised rates - </w:t>
      </w:r>
      <w:r w:rsidR="007B2295" w:rsidRPr="00883B18">
        <w:rPr>
          <w:sz w:val="20"/>
        </w:rPr>
        <w:t xml:space="preserve">April 2016 </w:t>
      </w:r>
    </w:p>
    <w:p w14:paraId="46BE60E4" w14:textId="77777777" w:rsidR="00BF1C61" w:rsidRDefault="00BF1C61" w:rsidP="007B2295">
      <w:pPr>
        <w:ind w:left="-426"/>
        <w:jc w:val="right"/>
        <w:sectPr w:rsidR="00BF1C61" w:rsidSect="00B15F57">
          <w:pgSz w:w="11906" w:h="16838"/>
          <w:pgMar w:top="567" w:right="1440" w:bottom="284" w:left="1440" w:header="708" w:footer="708" w:gutter="0"/>
          <w:cols w:space="708"/>
          <w:docGrid w:linePitch="360"/>
        </w:sectPr>
      </w:pPr>
    </w:p>
    <w:p w14:paraId="1097DA41" w14:textId="77777777" w:rsidR="00620E4C" w:rsidRDefault="00620E4C" w:rsidP="00B15F57">
      <w:pPr>
        <w:ind w:left="-426"/>
      </w:pPr>
    </w:p>
    <w:tbl>
      <w:tblPr>
        <w:tblStyle w:val="TableGrid"/>
        <w:tblW w:w="15735" w:type="dxa"/>
        <w:tblInd w:w="-743" w:type="dxa"/>
        <w:tblLayout w:type="fixed"/>
        <w:tblLook w:val="04A0" w:firstRow="1" w:lastRow="0" w:firstColumn="1" w:lastColumn="0" w:noHBand="0" w:noVBand="1"/>
      </w:tblPr>
      <w:tblGrid>
        <w:gridCol w:w="2978"/>
        <w:gridCol w:w="12757"/>
      </w:tblGrid>
      <w:tr w:rsidR="00BF1C61" w:rsidRPr="003570FF" w14:paraId="064BBEC2" w14:textId="77777777" w:rsidTr="00BF1C61">
        <w:tc>
          <w:tcPr>
            <w:tcW w:w="2978" w:type="dxa"/>
          </w:tcPr>
          <w:p w14:paraId="2C9CB7C5" w14:textId="77777777" w:rsidR="00BF1C61" w:rsidRPr="003570FF" w:rsidRDefault="00620E4C" w:rsidP="00BF1C61">
            <w:pPr>
              <w:pStyle w:val="ListParagraph"/>
              <w:ind w:left="0"/>
              <w:rPr>
                <w:b/>
              </w:rPr>
            </w:pPr>
            <w:r>
              <w:rPr>
                <w:b/>
              </w:rPr>
              <w:br w:type="page"/>
            </w:r>
            <w:r w:rsidR="00BF1C61" w:rsidRPr="003570FF">
              <w:rPr>
                <w:b/>
              </w:rPr>
              <w:t>BUSINESS UNIT</w:t>
            </w:r>
          </w:p>
        </w:tc>
        <w:tc>
          <w:tcPr>
            <w:tcW w:w="12757" w:type="dxa"/>
          </w:tcPr>
          <w:p w14:paraId="1342D756" w14:textId="77777777" w:rsidR="00BF1C61" w:rsidRPr="003F0CB1" w:rsidRDefault="00BF1C61" w:rsidP="00BF1C61">
            <w:pPr>
              <w:rPr>
                <w:b/>
              </w:rPr>
            </w:pPr>
            <w:r w:rsidRPr="003F0CB1">
              <w:rPr>
                <w:b/>
              </w:rPr>
              <w:t xml:space="preserve">ARRANGEMENTS </w:t>
            </w:r>
            <w:r>
              <w:rPr>
                <w:b/>
              </w:rPr>
              <w:t>WITH EFFECT FROM 1 OCTOBER 2012</w:t>
            </w:r>
          </w:p>
        </w:tc>
      </w:tr>
      <w:tr w:rsidR="00BF1C61" w:rsidRPr="003570FF" w14:paraId="4171EBB1" w14:textId="77777777" w:rsidTr="00BF1C61">
        <w:tc>
          <w:tcPr>
            <w:tcW w:w="2978" w:type="dxa"/>
          </w:tcPr>
          <w:p w14:paraId="22E1DB04" w14:textId="77777777" w:rsidR="00BF1C61" w:rsidRPr="003570FF" w:rsidRDefault="00BF1C61" w:rsidP="00BF1C61">
            <w:pPr>
              <w:pStyle w:val="ListParagraph"/>
              <w:ind w:left="0"/>
              <w:rPr>
                <w:b/>
              </w:rPr>
            </w:pPr>
            <w:r w:rsidRPr="003570FF">
              <w:rPr>
                <w:b/>
              </w:rPr>
              <w:t>Housing Options, Energy and Home Support – (Homeless provision)</w:t>
            </w:r>
          </w:p>
        </w:tc>
        <w:tc>
          <w:tcPr>
            <w:tcW w:w="12757" w:type="dxa"/>
          </w:tcPr>
          <w:p w14:paraId="4D9BE751" w14:textId="77777777" w:rsidR="00BF1C61" w:rsidRPr="003F0CB1" w:rsidRDefault="00BF1C61" w:rsidP="00BF1C61">
            <w:pPr>
              <w:pStyle w:val="ListParagraph"/>
              <w:numPr>
                <w:ilvl w:val="0"/>
                <w:numId w:val="31"/>
              </w:numPr>
              <w:ind w:left="317" w:hanging="317"/>
              <w:jc w:val="left"/>
            </w:pPr>
            <w:r w:rsidRPr="003F0CB1">
              <w:t>Formal ‘standby’ arrangements to remain in place</w:t>
            </w:r>
          </w:p>
          <w:p w14:paraId="7105F779" w14:textId="77777777" w:rsidR="00BF1C61" w:rsidRDefault="00BF1C61" w:rsidP="00BF1C61">
            <w:pPr>
              <w:pStyle w:val="ListParagraph"/>
              <w:numPr>
                <w:ilvl w:val="0"/>
                <w:numId w:val="32"/>
              </w:numPr>
              <w:ind w:left="317" w:hanging="317"/>
              <w:jc w:val="left"/>
            </w:pPr>
            <w:r w:rsidRPr="003F0CB1">
              <w:t>‘standby’ payments at agreed rates</w:t>
            </w:r>
          </w:p>
          <w:p w14:paraId="0CF3D020" w14:textId="77777777" w:rsidR="00BF1C61" w:rsidRPr="003F0CB1" w:rsidRDefault="00BF1C61" w:rsidP="00BF1C61">
            <w:pPr>
              <w:pStyle w:val="ListParagraph"/>
              <w:numPr>
                <w:ilvl w:val="0"/>
                <w:numId w:val="32"/>
              </w:numPr>
              <w:ind w:left="317" w:hanging="317"/>
              <w:jc w:val="left"/>
            </w:pPr>
            <w:r>
              <w:t xml:space="preserve">‘call out’ payments at agreed rates </w:t>
            </w:r>
          </w:p>
          <w:p w14:paraId="00841626" w14:textId="77777777" w:rsidR="00BF1C61" w:rsidRPr="003F0CB1" w:rsidRDefault="00BF1C61" w:rsidP="00BF1C61">
            <w:pPr>
              <w:pStyle w:val="ListParagraph"/>
              <w:ind w:left="317"/>
            </w:pPr>
            <w:proofErr w:type="spellStart"/>
            <w:r w:rsidRPr="003F0CB1">
              <w:t>i.e</w:t>
            </w:r>
            <w:proofErr w:type="spellEnd"/>
            <w:r>
              <w:t xml:space="preserve"> </w:t>
            </w:r>
            <w:proofErr w:type="gramStart"/>
            <w:r>
              <w:t>The</w:t>
            </w:r>
            <w:proofErr w:type="gramEnd"/>
            <w:r>
              <w:t xml:space="preserve"> appropriate </w:t>
            </w:r>
            <w:r w:rsidRPr="003F0CB1">
              <w:t xml:space="preserve">fixed rate for all employees who are called out for the first 2 hours of each ‘call out’, irrespective of the employee’s substantive grade will be paid.  Hours called out in excess of the initial two hours will be paid at the hourly rate for the substantive job, with enhanced rates also being applied as appropriate (in accordance with Part 3, Paragraph 2 – Working Arrangements of the ‘green book’ as amended by local collective agreements). </w:t>
            </w:r>
          </w:p>
          <w:p w14:paraId="66525DF5" w14:textId="77777777" w:rsidR="00BF1C61" w:rsidRPr="003F0CB1" w:rsidRDefault="00BF1C61" w:rsidP="00BF1C61">
            <w:pPr>
              <w:pStyle w:val="ListParagraph"/>
              <w:ind w:left="317"/>
            </w:pPr>
          </w:p>
          <w:p w14:paraId="00EB7C04" w14:textId="77777777" w:rsidR="00BF1C61" w:rsidRPr="003F0CB1" w:rsidRDefault="00BF1C61" w:rsidP="00BF1C61">
            <w:pPr>
              <w:pStyle w:val="ListParagraph"/>
              <w:numPr>
                <w:ilvl w:val="0"/>
                <w:numId w:val="32"/>
              </w:numPr>
              <w:ind w:left="317" w:hanging="284"/>
              <w:jc w:val="left"/>
            </w:pPr>
            <w:r>
              <w:t xml:space="preserve">With effect from </w:t>
            </w:r>
            <w:r w:rsidRPr="00BF1C61">
              <w:t>1 October 2012 payments</w:t>
            </w:r>
            <w:r w:rsidRPr="003F0CB1">
              <w:t xml:space="preserve"> are payable from the point that out of hours ‘work’ commences as a result of a ‘call out’, regardless of whether the officer is required to leave the home or not.</w:t>
            </w:r>
          </w:p>
          <w:p w14:paraId="650155A1" w14:textId="77777777" w:rsidR="00BF1C61" w:rsidRPr="003F0CB1" w:rsidRDefault="00BF1C61" w:rsidP="00BF1C61">
            <w:pPr>
              <w:pStyle w:val="ListParagraph"/>
              <w:ind w:left="317" w:hanging="284"/>
            </w:pPr>
          </w:p>
          <w:p w14:paraId="7F3EF9D2" w14:textId="77777777" w:rsidR="00BF1C61" w:rsidRPr="003F0CB1" w:rsidRDefault="00BF1C61" w:rsidP="00BF1C61">
            <w:pPr>
              <w:pStyle w:val="ListParagraph"/>
              <w:numPr>
                <w:ilvl w:val="0"/>
                <w:numId w:val="32"/>
              </w:numPr>
              <w:ind w:left="317" w:hanging="284"/>
              <w:jc w:val="left"/>
            </w:pPr>
            <w:r w:rsidRPr="003F0CB1">
              <w:t>Payments will be made for whole hours or part thereof</w:t>
            </w:r>
          </w:p>
          <w:p w14:paraId="2E02EE04" w14:textId="77777777" w:rsidR="00BF1C61" w:rsidRPr="003F0CB1" w:rsidRDefault="00BF1C61" w:rsidP="00BF1C61">
            <w:pPr>
              <w:jc w:val="left"/>
            </w:pPr>
          </w:p>
        </w:tc>
      </w:tr>
      <w:tr w:rsidR="00BF1C61" w:rsidRPr="003570FF" w14:paraId="6F357E1F" w14:textId="77777777" w:rsidTr="00BF1C61">
        <w:tc>
          <w:tcPr>
            <w:tcW w:w="2978" w:type="dxa"/>
          </w:tcPr>
          <w:p w14:paraId="4A6BAFC7" w14:textId="77777777" w:rsidR="00BF1C61" w:rsidRPr="003570FF" w:rsidRDefault="00BF1C61" w:rsidP="00BF1C61">
            <w:pPr>
              <w:pStyle w:val="ListParagraph"/>
              <w:ind w:left="0"/>
              <w:rPr>
                <w:b/>
              </w:rPr>
            </w:pPr>
            <w:r w:rsidRPr="003570FF">
              <w:rPr>
                <w:b/>
              </w:rPr>
              <w:t>Building Control – (Dangerous Structures)</w:t>
            </w:r>
          </w:p>
        </w:tc>
        <w:tc>
          <w:tcPr>
            <w:tcW w:w="12757" w:type="dxa"/>
          </w:tcPr>
          <w:p w14:paraId="20435444" w14:textId="77777777" w:rsidR="00BF1C61" w:rsidRDefault="00BF1C61" w:rsidP="00BF1C61">
            <w:pPr>
              <w:pStyle w:val="ListParagraph"/>
              <w:numPr>
                <w:ilvl w:val="0"/>
                <w:numId w:val="45"/>
              </w:numPr>
              <w:tabs>
                <w:tab w:val="left" w:pos="317"/>
              </w:tabs>
              <w:ind w:left="317" w:hanging="317"/>
              <w:jc w:val="left"/>
            </w:pPr>
            <w:r>
              <w:t xml:space="preserve">No </w:t>
            </w:r>
            <w:r w:rsidRPr="003F0CB1">
              <w:t>formal ‘standby</w:t>
            </w:r>
            <w:r>
              <w:t>’ rota and associated payments</w:t>
            </w:r>
          </w:p>
          <w:p w14:paraId="5204688D" w14:textId="77777777" w:rsidR="00BF1C61" w:rsidRPr="003F0CB1" w:rsidRDefault="00BF1C61" w:rsidP="00BF1C61">
            <w:pPr>
              <w:pStyle w:val="ListParagraph"/>
              <w:numPr>
                <w:ilvl w:val="0"/>
                <w:numId w:val="18"/>
              </w:numPr>
              <w:tabs>
                <w:tab w:val="left" w:pos="709"/>
              </w:tabs>
              <w:ind w:left="317" w:hanging="317"/>
              <w:jc w:val="left"/>
            </w:pPr>
            <w:r>
              <w:t xml:space="preserve">With effect from </w:t>
            </w:r>
            <w:r w:rsidRPr="00BF1C61">
              <w:t>1 October 2012</w:t>
            </w:r>
            <w:r>
              <w:t xml:space="preserve"> </w:t>
            </w:r>
            <w:r w:rsidRPr="003F0CB1">
              <w:t>implement cascade arrangement for all  ‘out of hours’ calls;</w:t>
            </w:r>
            <w:r>
              <w:t xml:space="preserve"> </w:t>
            </w:r>
            <w:r w:rsidRPr="003F0CB1">
              <w:t xml:space="preserve"> (arrangements as agreed with the Business Manager)</w:t>
            </w:r>
          </w:p>
          <w:p w14:paraId="0E2BDDBD" w14:textId="77777777" w:rsidR="00BF1C61" w:rsidRPr="003F0CB1" w:rsidRDefault="00BF1C61" w:rsidP="00BF1C61">
            <w:pPr>
              <w:pStyle w:val="ListParagraph"/>
              <w:numPr>
                <w:ilvl w:val="0"/>
                <w:numId w:val="32"/>
              </w:numPr>
              <w:ind w:left="317" w:hanging="317"/>
              <w:jc w:val="left"/>
            </w:pPr>
            <w:r>
              <w:rPr>
                <w:lang w:eastAsia="en-GB"/>
              </w:rPr>
              <w:t>There will be no contractual obligation to respond to an out of hours call, however w</w:t>
            </w:r>
            <w:r w:rsidRPr="003F0CB1">
              <w:t xml:space="preserve">here an officer responds to a ‘call out’ </w:t>
            </w:r>
            <w:r>
              <w:t>–</w:t>
            </w:r>
            <w:r w:rsidRPr="003F0CB1">
              <w:t xml:space="preserve"> </w:t>
            </w:r>
            <w:r>
              <w:t xml:space="preserve">the appropriate call out rate is payable </w:t>
            </w:r>
            <w:r w:rsidRPr="003F0CB1">
              <w:t xml:space="preserve">for all employees who are called out for the first 2 hours of each ‘call out’, irrespective of the employee’s substantive grade.  Hours called out in excess of the initial two hours will be paid at the hourly rate for the substantive job, with enhanced rates also being applied as appropriate (in accordance with Part 3, Paragraph 2 – Working Arrangements of the ‘green book’ as amended by local collective agreements). </w:t>
            </w:r>
          </w:p>
          <w:p w14:paraId="43E66072" w14:textId="77777777" w:rsidR="00BF1C61" w:rsidRPr="003F0CB1" w:rsidRDefault="00BF1C61" w:rsidP="00BF1C61">
            <w:pPr>
              <w:pStyle w:val="ListParagraph"/>
              <w:numPr>
                <w:ilvl w:val="0"/>
                <w:numId w:val="32"/>
              </w:numPr>
              <w:ind w:left="317" w:hanging="317"/>
              <w:jc w:val="left"/>
            </w:pPr>
            <w:r>
              <w:t xml:space="preserve">With effect from </w:t>
            </w:r>
            <w:r w:rsidRPr="00BF1C61">
              <w:t>1 October 2012</w:t>
            </w:r>
            <w:r>
              <w:t xml:space="preserve"> </w:t>
            </w:r>
            <w:r w:rsidRPr="003F0CB1">
              <w:t>payments are payable from the point that out of hours ‘work’ commences as a result of a ‘call out’, regardless of whether the officer is required to leave the home or not.</w:t>
            </w:r>
          </w:p>
          <w:p w14:paraId="780EC582" w14:textId="77777777" w:rsidR="00BF1C61" w:rsidRPr="003F0CB1" w:rsidRDefault="00BF1C61" w:rsidP="00BF1C61">
            <w:pPr>
              <w:pStyle w:val="ListParagraph"/>
              <w:numPr>
                <w:ilvl w:val="0"/>
                <w:numId w:val="45"/>
              </w:numPr>
              <w:ind w:left="317" w:right="176" w:hanging="317"/>
              <w:jc w:val="left"/>
            </w:pPr>
            <w:r w:rsidRPr="003F0CB1">
              <w:t xml:space="preserve">Payments will be made for whole hours or part thereof </w:t>
            </w:r>
          </w:p>
          <w:p w14:paraId="69BC1318" w14:textId="77777777" w:rsidR="00BF1C61" w:rsidRPr="003F0CB1" w:rsidRDefault="00BF1C61" w:rsidP="00BF1C61">
            <w:pPr>
              <w:ind w:right="176"/>
              <w:jc w:val="left"/>
            </w:pPr>
          </w:p>
        </w:tc>
      </w:tr>
      <w:tr w:rsidR="00BF1C61" w:rsidRPr="003570FF" w14:paraId="7D30883C" w14:textId="77777777" w:rsidTr="00BF1C61">
        <w:tc>
          <w:tcPr>
            <w:tcW w:w="2978" w:type="dxa"/>
          </w:tcPr>
          <w:p w14:paraId="72345582" w14:textId="77777777" w:rsidR="00BF1C61" w:rsidRPr="003F0CB1" w:rsidRDefault="00BF1C61" w:rsidP="00BF1C61">
            <w:pPr>
              <w:rPr>
                <w:b/>
              </w:rPr>
            </w:pPr>
            <w:r w:rsidRPr="003F0CB1">
              <w:rPr>
                <w:b/>
              </w:rPr>
              <w:t>Building Service</w:t>
            </w:r>
          </w:p>
          <w:p w14:paraId="5CC14BF1" w14:textId="77777777" w:rsidR="00BF1C61" w:rsidRPr="003570FF" w:rsidRDefault="00BF1C61" w:rsidP="00BF1C61">
            <w:pPr>
              <w:pStyle w:val="ListParagraph"/>
              <w:ind w:left="0"/>
              <w:rPr>
                <w:b/>
              </w:rPr>
            </w:pPr>
          </w:p>
        </w:tc>
        <w:tc>
          <w:tcPr>
            <w:tcW w:w="12757" w:type="dxa"/>
          </w:tcPr>
          <w:p w14:paraId="7E8B5628" w14:textId="77777777" w:rsidR="00BF1C61" w:rsidRDefault="00BF1C61" w:rsidP="00BF1C61">
            <w:pPr>
              <w:pStyle w:val="ListParagraph"/>
              <w:numPr>
                <w:ilvl w:val="0"/>
                <w:numId w:val="32"/>
              </w:numPr>
              <w:ind w:left="317" w:hanging="317"/>
              <w:jc w:val="left"/>
            </w:pPr>
            <w:r w:rsidRPr="003F0CB1">
              <w:t>Formal ‘standby’ arrangements to remain in place</w:t>
            </w:r>
            <w:r>
              <w:t xml:space="preserve"> </w:t>
            </w:r>
          </w:p>
          <w:p w14:paraId="4275352A" w14:textId="77777777" w:rsidR="00BF1C61" w:rsidRPr="003F0CB1" w:rsidRDefault="00BF1C61" w:rsidP="00BF1C61">
            <w:pPr>
              <w:pStyle w:val="ListParagraph"/>
              <w:numPr>
                <w:ilvl w:val="0"/>
                <w:numId w:val="32"/>
              </w:numPr>
              <w:ind w:left="317" w:hanging="317"/>
              <w:jc w:val="left"/>
            </w:pPr>
            <w:r w:rsidRPr="003F0CB1">
              <w:t>‘standby’ payments at agreed rates</w:t>
            </w:r>
          </w:p>
          <w:p w14:paraId="2585772F" w14:textId="77777777" w:rsidR="00BF1C61" w:rsidRPr="003F0CB1" w:rsidRDefault="00BF1C61" w:rsidP="00BF1C61">
            <w:pPr>
              <w:pStyle w:val="ListParagraph"/>
              <w:ind w:left="317"/>
            </w:pPr>
            <w:proofErr w:type="gramStart"/>
            <w:r>
              <w:t>‘ Call</w:t>
            </w:r>
            <w:proofErr w:type="gramEnd"/>
            <w:r>
              <w:t xml:space="preserve"> out’ payments at agreed rates</w:t>
            </w:r>
            <w:r w:rsidRPr="003F0CB1">
              <w:t xml:space="preserve"> </w:t>
            </w:r>
            <w:proofErr w:type="spellStart"/>
            <w:r w:rsidRPr="003F0CB1">
              <w:t>i.e</w:t>
            </w:r>
            <w:proofErr w:type="spellEnd"/>
            <w:r>
              <w:t xml:space="preserve"> The appropriate </w:t>
            </w:r>
            <w:r w:rsidRPr="003F0CB1">
              <w:t xml:space="preserve">fixed rate for all employees who are called out for the first 2 hours of </w:t>
            </w:r>
            <w:r w:rsidRPr="003F0CB1">
              <w:lastRenderedPageBreak/>
              <w:t xml:space="preserve">each ‘call out’, irrespective of the employee’s substantive grade will be paid.  Hours called out in excess of the initial two hours will be paid at the hourly rate for the substantive job, with enhanced rates also being applied as appropriate (in accordance with Part 3, Paragraph 2 – Working Arrangements of the ‘green book’ as amended by local collective agreements). </w:t>
            </w:r>
          </w:p>
          <w:p w14:paraId="0C3A0145" w14:textId="77777777" w:rsidR="00BF1C61" w:rsidRPr="003F0CB1" w:rsidRDefault="00BF1C61" w:rsidP="00BF1C61">
            <w:pPr>
              <w:pStyle w:val="ListParagraph"/>
              <w:numPr>
                <w:ilvl w:val="0"/>
                <w:numId w:val="32"/>
              </w:numPr>
              <w:ind w:left="317" w:hanging="317"/>
              <w:jc w:val="left"/>
            </w:pPr>
            <w:r>
              <w:t xml:space="preserve">With effect from </w:t>
            </w:r>
            <w:r w:rsidRPr="00BF1C61">
              <w:t>1 October 2012</w:t>
            </w:r>
            <w:r>
              <w:t xml:space="preserve"> </w:t>
            </w:r>
            <w:r w:rsidRPr="003F0CB1">
              <w:t>payments are payable from the point that out of hours ‘work’ commences as a result of a ‘call out’, regardless of whether the officer is required to leave the home or not.</w:t>
            </w:r>
          </w:p>
          <w:p w14:paraId="284F7A93" w14:textId="77777777" w:rsidR="00BF1C61" w:rsidRPr="003F0CB1" w:rsidRDefault="00BF1C61" w:rsidP="00BF1C61">
            <w:pPr>
              <w:pStyle w:val="ListParagraph"/>
              <w:numPr>
                <w:ilvl w:val="0"/>
                <w:numId w:val="48"/>
              </w:numPr>
              <w:ind w:left="317" w:hanging="317"/>
              <w:jc w:val="left"/>
            </w:pPr>
            <w:r w:rsidRPr="003F0CB1">
              <w:t xml:space="preserve">Payments will be made for whole hours or part thereof </w:t>
            </w:r>
          </w:p>
          <w:p w14:paraId="0C1E3053" w14:textId="77777777" w:rsidR="00BF1C61" w:rsidRPr="003F0CB1" w:rsidRDefault="00BF1C61" w:rsidP="00BF1C61">
            <w:pPr>
              <w:pStyle w:val="ListParagraph"/>
              <w:ind w:left="317"/>
              <w:jc w:val="left"/>
            </w:pPr>
          </w:p>
        </w:tc>
      </w:tr>
      <w:tr w:rsidR="00BF1C61" w:rsidRPr="003570FF" w14:paraId="320DC3C2" w14:textId="77777777" w:rsidTr="00BF1C61">
        <w:tc>
          <w:tcPr>
            <w:tcW w:w="2978" w:type="dxa"/>
          </w:tcPr>
          <w:p w14:paraId="49E76CD1" w14:textId="77777777" w:rsidR="00BF1C61" w:rsidRPr="003570FF" w:rsidRDefault="00BF1C61" w:rsidP="00BF1C61">
            <w:pPr>
              <w:pStyle w:val="ListParagraph"/>
              <w:ind w:left="0"/>
              <w:rPr>
                <w:b/>
              </w:rPr>
            </w:pPr>
            <w:r w:rsidRPr="003570FF">
              <w:rPr>
                <w:b/>
              </w:rPr>
              <w:lastRenderedPageBreak/>
              <w:t>Markets and Car Parks</w:t>
            </w:r>
          </w:p>
        </w:tc>
        <w:tc>
          <w:tcPr>
            <w:tcW w:w="12757" w:type="dxa"/>
          </w:tcPr>
          <w:p w14:paraId="4E46740D" w14:textId="77777777" w:rsidR="00BF1C61" w:rsidRDefault="00BF1C61" w:rsidP="00BF1C61">
            <w:pPr>
              <w:pStyle w:val="ListParagraph"/>
              <w:numPr>
                <w:ilvl w:val="0"/>
                <w:numId w:val="19"/>
              </w:numPr>
              <w:ind w:left="317" w:hanging="317"/>
              <w:jc w:val="left"/>
            </w:pPr>
            <w:r>
              <w:t xml:space="preserve">No </w:t>
            </w:r>
            <w:r w:rsidRPr="003570FF">
              <w:t xml:space="preserve">formal ‘standby’ rota and payments;  </w:t>
            </w:r>
          </w:p>
          <w:p w14:paraId="7FDF06A9" w14:textId="77777777" w:rsidR="00BF1C61" w:rsidRPr="003F0CB1" w:rsidRDefault="00BF1C61" w:rsidP="00BF1C61">
            <w:pPr>
              <w:pStyle w:val="ListParagraph"/>
              <w:numPr>
                <w:ilvl w:val="0"/>
                <w:numId w:val="18"/>
              </w:numPr>
              <w:tabs>
                <w:tab w:val="left" w:pos="709"/>
              </w:tabs>
              <w:ind w:left="317" w:hanging="317"/>
              <w:jc w:val="left"/>
            </w:pPr>
            <w:r>
              <w:t xml:space="preserve">With effect from </w:t>
            </w:r>
            <w:r w:rsidRPr="00BF1C61">
              <w:t>1 October 2012</w:t>
            </w:r>
            <w:r>
              <w:t xml:space="preserve"> </w:t>
            </w:r>
            <w:r w:rsidRPr="003F0CB1">
              <w:t>implement cascade arrangement for all  ‘out of hours’ calls; (arrangements as agreed with the Business Manager)</w:t>
            </w:r>
          </w:p>
          <w:p w14:paraId="2A0F8FD6" w14:textId="77777777" w:rsidR="00BF1C61" w:rsidRPr="0003026F" w:rsidRDefault="00BF1C61" w:rsidP="00BF1C61">
            <w:pPr>
              <w:pStyle w:val="ListParagraph"/>
              <w:numPr>
                <w:ilvl w:val="0"/>
                <w:numId w:val="19"/>
              </w:numPr>
              <w:ind w:left="317" w:hanging="317"/>
              <w:jc w:val="left"/>
              <w:rPr>
                <w:b/>
              </w:rPr>
            </w:pPr>
            <w:r>
              <w:rPr>
                <w:lang w:eastAsia="en-GB"/>
              </w:rPr>
              <w:t>There will be no contractual obligation to respond to an out of hours call, however w</w:t>
            </w:r>
            <w:r w:rsidRPr="003F0CB1">
              <w:t xml:space="preserve">here an officer </w:t>
            </w:r>
            <w:r>
              <w:t xml:space="preserve">does </w:t>
            </w:r>
            <w:r w:rsidRPr="003F0CB1">
              <w:t xml:space="preserve">respond to a ‘call out’ </w:t>
            </w:r>
            <w:r>
              <w:t xml:space="preserve">payments to be made </w:t>
            </w:r>
            <w:r w:rsidRPr="003570FF">
              <w:t xml:space="preserve">at </w:t>
            </w:r>
            <w:r>
              <w:t xml:space="preserve">the approved rates </w:t>
            </w:r>
          </w:p>
        </w:tc>
      </w:tr>
      <w:tr w:rsidR="00BF1C61" w:rsidRPr="003570FF" w14:paraId="42ECE084" w14:textId="77777777" w:rsidTr="00BF1C61">
        <w:tc>
          <w:tcPr>
            <w:tcW w:w="2978" w:type="dxa"/>
            <w:tcBorders>
              <w:bottom w:val="single" w:sz="4" w:space="0" w:color="auto"/>
            </w:tcBorders>
          </w:tcPr>
          <w:p w14:paraId="551BBA19" w14:textId="77777777" w:rsidR="00BF1C61" w:rsidRPr="003F0CB1" w:rsidRDefault="00BF1C61" w:rsidP="00BF1C61">
            <w:pPr>
              <w:rPr>
                <w:b/>
              </w:rPr>
            </w:pPr>
            <w:r w:rsidRPr="003F0CB1">
              <w:rPr>
                <w:b/>
              </w:rPr>
              <w:t xml:space="preserve">ICT   </w:t>
            </w:r>
          </w:p>
        </w:tc>
        <w:tc>
          <w:tcPr>
            <w:tcW w:w="12757" w:type="dxa"/>
            <w:tcBorders>
              <w:bottom w:val="single" w:sz="4" w:space="0" w:color="auto"/>
            </w:tcBorders>
          </w:tcPr>
          <w:p w14:paraId="23BF3C02" w14:textId="77777777" w:rsidR="00BF1C61" w:rsidRPr="003570FF" w:rsidRDefault="00BF1C61" w:rsidP="00BF1C61">
            <w:pPr>
              <w:pStyle w:val="ListParagraph"/>
              <w:numPr>
                <w:ilvl w:val="0"/>
                <w:numId w:val="19"/>
              </w:numPr>
              <w:ind w:left="317" w:hanging="317"/>
              <w:jc w:val="left"/>
            </w:pPr>
            <w:r>
              <w:t xml:space="preserve">No </w:t>
            </w:r>
            <w:r w:rsidRPr="003570FF">
              <w:t xml:space="preserve">formal ‘standby’ rota and payments;  </w:t>
            </w:r>
          </w:p>
          <w:p w14:paraId="7A6DD3EB" w14:textId="77777777" w:rsidR="00BF1C61" w:rsidRPr="003F0CB1" w:rsidRDefault="00BF1C61" w:rsidP="00BF1C61">
            <w:pPr>
              <w:pStyle w:val="ListParagraph"/>
              <w:numPr>
                <w:ilvl w:val="0"/>
                <w:numId w:val="18"/>
              </w:numPr>
              <w:tabs>
                <w:tab w:val="left" w:pos="709"/>
              </w:tabs>
              <w:ind w:left="317" w:hanging="317"/>
              <w:jc w:val="left"/>
            </w:pPr>
            <w:r>
              <w:t xml:space="preserve">With effect from </w:t>
            </w:r>
            <w:r w:rsidRPr="00BF1C61">
              <w:t>1 October 2012</w:t>
            </w:r>
            <w:r>
              <w:t xml:space="preserve"> </w:t>
            </w:r>
            <w:r w:rsidRPr="003F0CB1">
              <w:t>implement cascade arrangement for all  ‘out of hours’ calls; (arrangements as agreed with the Business Manager)</w:t>
            </w:r>
          </w:p>
          <w:p w14:paraId="6267CB3D" w14:textId="77777777" w:rsidR="00BF1C61" w:rsidRPr="00ED0DDB" w:rsidRDefault="00BF1C61" w:rsidP="00BF1C61">
            <w:pPr>
              <w:pStyle w:val="ListParagraph"/>
              <w:numPr>
                <w:ilvl w:val="0"/>
                <w:numId w:val="19"/>
              </w:numPr>
              <w:ind w:left="317" w:hanging="317"/>
              <w:jc w:val="left"/>
              <w:rPr>
                <w:b/>
              </w:rPr>
            </w:pPr>
            <w:r>
              <w:rPr>
                <w:lang w:eastAsia="en-GB"/>
              </w:rPr>
              <w:t>There will be no contractual obligation to respond to an out of hours call, however w</w:t>
            </w:r>
            <w:r w:rsidRPr="003F0CB1">
              <w:t xml:space="preserve">here an officer </w:t>
            </w:r>
            <w:r>
              <w:t xml:space="preserve">does </w:t>
            </w:r>
            <w:r w:rsidRPr="003F0CB1">
              <w:t xml:space="preserve">respond to a ‘call out’ </w:t>
            </w:r>
            <w:r>
              <w:t xml:space="preserve">payments to be made </w:t>
            </w:r>
            <w:r w:rsidRPr="003570FF">
              <w:t xml:space="preserve">at </w:t>
            </w:r>
            <w:r>
              <w:t>the approved rates</w:t>
            </w:r>
          </w:p>
        </w:tc>
      </w:tr>
      <w:tr w:rsidR="00BF1C61" w:rsidRPr="003570FF" w14:paraId="4EFB45D9" w14:textId="77777777" w:rsidTr="00BF1C61">
        <w:tc>
          <w:tcPr>
            <w:tcW w:w="2978" w:type="dxa"/>
            <w:tcBorders>
              <w:bottom w:val="single" w:sz="4" w:space="0" w:color="auto"/>
            </w:tcBorders>
          </w:tcPr>
          <w:p w14:paraId="146DFD60" w14:textId="77777777" w:rsidR="00BF1C61" w:rsidRPr="003F0CB1" w:rsidRDefault="00BF1C61" w:rsidP="00BF1C61">
            <w:pPr>
              <w:rPr>
                <w:b/>
              </w:rPr>
            </w:pPr>
            <w:r w:rsidRPr="003F0CB1">
              <w:rPr>
                <w:b/>
              </w:rPr>
              <w:t>Community Safety</w:t>
            </w:r>
          </w:p>
          <w:p w14:paraId="5A9E020C" w14:textId="77777777" w:rsidR="00BF1C61" w:rsidRPr="003570FF" w:rsidRDefault="00BF1C61" w:rsidP="00BF1C61">
            <w:pPr>
              <w:pStyle w:val="ListParagraph"/>
              <w:ind w:left="0"/>
              <w:rPr>
                <w:b/>
              </w:rPr>
            </w:pPr>
          </w:p>
          <w:p w14:paraId="7AC16CB5" w14:textId="77777777" w:rsidR="00BF1C61" w:rsidRPr="003570FF" w:rsidRDefault="00BF1C61" w:rsidP="00BF1C61">
            <w:pPr>
              <w:pStyle w:val="ListParagraph"/>
              <w:ind w:left="0"/>
              <w:rPr>
                <w:b/>
              </w:rPr>
            </w:pPr>
          </w:p>
        </w:tc>
        <w:tc>
          <w:tcPr>
            <w:tcW w:w="12757" w:type="dxa"/>
            <w:tcBorders>
              <w:bottom w:val="single" w:sz="4" w:space="0" w:color="auto"/>
            </w:tcBorders>
          </w:tcPr>
          <w:p w14:paraId="69746099" w14:textId="77777777" w:rsidR="00BF1C61" w:rsidRPr="003570FF" w:rsidRDefault="00BF7396" w:rsidP="00BF1C61">
            <w:pPr>
              <w:pStyle w:val="ListParagraph"/>
              <w:numPr>
                <w:ilvl w:val="0"/>
                <w:numId w:val="38"/>
              </w:numPr>
              <w:ind w:left="317" w:hanging="317"/>
              <w:jc w:val="left"/>
            </w:pPr>
            <w:r>
              <w:t xml:space="preserve">No </w:t>
            </w:r>
            <w:r w:rsidR="00BF1C61" w:rsidRPr="003570FF">
              <w:t xml:space="preserve">formal ‘standby’ rota and payments; </w:t>
            </w:r>
          </w:p>
          <w:p w14:paraId="30AACFBC" w14:textId="77777777" w:rsidR="00BF1C61" w:rsidRPr="003F0CB1" w:rsidRDefault="00BF1C61" w:rsidP="00BF1C61">
            <w:pPr>
              <w:pStyle w:val="ListParagraph"/>
              <w:numPr>
                <w:ilvl w:val="0"/>
                <w:numId w:val="18"/>
              </w:numPr>
              <w:tabs>
                <w:tab w:val="left" w:pos="709"/>
              </w:tabs>
              <w:ind w:left="317" w:hanging="317"/>
              <w:jc w:val="left"/>
            </w:pPr>
            <w:r>
              <w:t xml:space="preserve">With effect from </w:t>
            </w:r>
            <w:r w:rsidRPr="00BF7396">
              <w:t>1 October 2012</w:t>
            </w:r>
            <w:r>
              <w:t xml:space="preserve"> </w:t>
            </w:r>
            <w:r w:rsidRPr="003F0CB1">
              <w:t>implement cascade arrangement for all  ‘out of hours’ calls; (arrangements as agreed with the Business Manager)</w:t>
            </w:r>
          </w:p>
          <w:p w14:paraId="23F02655" w14:textId="77777777" w:rsidR="00BF1C61" w:rsidRPr="00ED0DDB" w:rsidRDefault="00BF1C61" w:rsidP="00BF1C61">
            <w:pPr>
              <w:pStyle w:val="ListParagraph"/>
              <w:numPr>
                <w:ilvl w:val="0"/>
                <w:numId w:val="38"/>
              </w:numPr>
              <w:ind w:left="317" w:hanging="317"/>
              <w:jc w:val="left"/>
            </w:pPr>
            <w:r>
              <w:rPr>
                <w:lang w:eastAsia="en-GB"/>
              </w:rPr>
              <w:t>There will be no contractual obligation to respond to an out of hours call, however w</w:t>
            </w:r>
            <w:r w:rsidRPr="003F0CB1">
              <w:t xml:space="preserve">here an officer </w:t>
            </w:r>
            <w:r>
              <w:t xml:space="preserve">does </w:t>
            </w:r>
            <w:r w:rsidRPr="003F0CB1">
              <w:t xml:space="preserve">respond to a ‘call out’ </w:t>
            </w:r>
            <w:r>
              <w:t xml:space="preserve">payments to be made </w:t>
            </w:r>
            <w:r w:rsidRPr="003570FF">
              <w:t xml:space="preserve">at </w:t>
            </w:r>
            <w:r>
              <w:t>the approved rates</w:t>
            </w:r>
          </w:p>
        </w:tc>
      </w:tr>
      <w:tr w:rsidR="00BF1C61" w:rsidRPr="003570FF" w14:paraId="493CF4E4" w14:textId="77777777" w:rsidTr="00BF1C61">
        <w:tc>
          <w:tcPr>
            <w:tcW w:w="2978" w:type="dxa"/>
            <w:tcBorders>
              <w:top w:val="single" w:sz="4" w:space="0" w:color="auto"/>
              <w:bottom w:val="single" w:sz="4" w:space="0" w:color="auto"/>
            </w:tcBorders>
          </w:tcPr>
          <w:p w14:paraId="18B36DCD" w14:textId="77777777" w:rsidR="00BF1C61" w:rsidRPr="003570FF" w:rsidRDefault="00BF1C61" w:rsidP="00BF1C61">
            <w:pPr>
              <w:pStyle w:val="ListParagraph"/>
              <w:ind w:left="0"/>
              <w:rPr>
                <w:b/>
              </w:rPr>
            </w:pPr>
            <w:r w:rsidRPr="003570FF">
              <w:rPr>
                <w:b/>
              </w:rPr>
              <w:t>Waste, Litter and Recycling</w:t>
            </w:r>
          </w:p>
        </w:tc>
        <w:tc>
          <w:tcPr>
            <w:tcW w:w="12757" w:type="dxa"/>
            <w:tcBorders>
              <w:top w:val="single" w:sz="4" w:space="0" w:color="auto"/>
              <w:bottom w:val="single" w:sz="4" w:space="0" w:color="auto"/>
            </w:tcBorders>
          </w:tcPr>
          <w:p w14:paraId="36880E64" w14:textId="77777777" w:rsidR="00BF1C61" w:rsidRDefault="00BF1C61" w:rsidP="00BF1C61">
            <w:pPr>
              <w:pStyle w:val="ListParagraph"/>
              <w:numPr>
                <w:ilvl w:val="0"/>
                <w:numId w:val="41"/>
              </w:numPr>
              <w:ind w:left="317" w:hanging="317"/>
              <w:jc w:val="left"/>
            </w:pPr>
            <w:r w:rsidRPr="003570FF">
              <w:t>Current cascade arrangements for ‘out of hours’ calls to continue to operate</w:t>
            </w:r>
          </w:p>
          <w:p w14:paraId="1C9CDFA8" w14:textId="77777777" w:rsidR="00BF1C61" w:rsidRPr="006D0D09" w:rsidRDefault="00BF1C61" w:rsidP="00BF1C61">
            <w:pPr>
              <w:pStyle w:val="ListParagraph"/>
              <w:numPr>
                <w:ilvl w:val="0"/>
                <w:numId w:val="41"/>
              </w:numPr>
              <w:ind w:left="317" w:hanging="317"/>
              <w:jc w:val="left"/>
            </w:pPr>
            <w:r>
              <w:rPr>
                <w:lang w:eastAsia="en-GB"/>
              </w:rPr>
              <w:t xml:space="preserve">There will be no contractual obligation to respond to an out of hours call, however </w:t>
            </w:r>
            <w:r>
              <w:t>where an officer responds to a ‘c</w:t>
            </w:r>
            <w:r w:rsidRPr="00ED0DDB">
              <w:t>all out</w:t>
            </w:r>
            <w:r>
              <w:t>’</w:t>
            </w:r>
            <w:r w:rsidRPr="00ED0DDB">
              <w:t xml:space="preserve"> payments to be made at the approved rates.</w:t>
            </w:r>
          </w:p>
        </w:tc>
      </w:tr>
      <w:tr w:rsidR="00BF1C61" w:rsidRPr="003570FF" w14:paraId="24697C13" w14:textId="77777777" w:rsidTr="00BF1C61">
        <w:tc>
          <w:tcPr>
            <w:tcW w:w="2978" w:type="dxa"/>
            <w:tcBorders>
              <w:top w:val="single" w:sz="4" w:space="0" w:color="auto"/>
              <w:bottom w:val="single" w:sz="4" w:space="0" w:color="auto"/>
            </w:tcBorders>
          </w:tcPr>
          <w:p w14:paraId="428BA5E5" w14:textId="77777777" w:rsidR="00BF1C61" w:rsidRPr="003570FF" w:rsidRDefault="00BF1C61" w:rsidP="00BF1C61">
            <w:pPr>
              <w:pStyle w:val="ListParagraph"/>
              <w:ind w:left="0"/>
              <w:rPr>
                <w:b/>
              </w:rPr>
            </w:pPr>
            <w:r w:rsidRPr="003570FF">
              <w:rPr>
                <w:b/>
              </w:rPr>
              <w:t>Environmental Health Animal Welfare and Control</w:t>
            </w:r>
          </w:p>
          <w:p w14:paraId="02681E95" w14:textId="77777777" w:rsidR="00BF1C61" w:rsidRPr="003570FF" w:rsidRDefault="00BF1C61" w:rsidP="00BF1C61">
            <w:pPr>
              <w:pStyle w:val="ListParagraph"/>
              <w:ind w:left="0"/>
              <w:rPr>
                <w:b/>
              </w:rPr>
            </w:pPr>
          </w:p>
          <w:p w14:paraId="6F69EC2E" w14:textId="77777777" w:rsidR="00BF1C61" w:rsidRPr="003570FF" w:rsidRDefault="00BF1C61" w:rsidP="00BF1C61">
            <w:pPr>
              <w:pStyle w:val="ListParagraph"/>
              <w:ind w:left="0"/>
              <w:rPr>
                <w:b/>
              </w:rPr>
            </w:pPr>
          </w:p>
        </w:tc>
        <w:tc>
          <w:tcPr>
            <w:tcW w:w="12757" w:type="dxa"/>
            <w:tcBorders>
              <w:top w:val="single" w:sz="4" w:space="0" w:color="auto"/>
              <w:bottom w:val="single" w:sz="4" w:space="0" w:color="auto"/>
            </w:tcBorders>
          </w:tcPr>
          <w:p w14:paraId="4D968771" w14:textId="77777777" w:rsidR="00BF1C61" w:rsidRPr="006D0D09" w:rsidRDefault="00BF1C61" w:rsidP="00BF1C61">
            <w:pPr>
              <w:pStyle w:val="ListParagraph"/>
              <w:numPr>
                <w:ilvl w:val="0"/>
                <w:numId w:val="22"/>
              </w:numPr>
              <w:ind w:left="317" w:hanging="317"/>
              <w:jc w:val="left"/>
              <w:rPr>
                <w:b/>
              </w:rPr>
            </w:pPr>
            <w:r w:rsidRPr="003570FF">
              <w:t>Current informal cascade system for ‘o</w:t>
            </w:r>
            <w:r>
              <w:t>ut of hours’ calls to continue;</w:t>
            </w:r>
          </w:p>
          <w:p w14:paraId="22D6C5A8" w14:textId="77777777" w:rsidR="00BF1C61" w:rsidRPr="00BF7396" w:rsidRDefault="00BF1C61" w:rsidP="00BF7396">
            <w:pPr>
              <w:pStyle w:val="ListParagraph"/>
              <w:numPr>
                <w:ilvl w:val="0"/>
                <w:numId w:val="22"/>
              </w:numPr>
              <w:ind w:left="317" w:hanging="317"/>
              <w:jc w:val="left"/>
              <w:rPr>
                <w:b/>
              </w:rPr>
            </w:pPr>
            <w:r>
              <w:rPr>
                <w:lang w:eastAsia="en-GB"/>
              </w:rPr>
              <w:t>There will be no contractual obligation to respond to an out of hours call, however w</w:t>
            </w:r>
            <w:r w:rsidRPr="003F0CB1">
              <w:t xml:space="preserve">here an officer </w:t>
            </w:r>
            <w:r>
              <w:t xml:space="preserve">does </w:t>
            </w:r>
            <w:r w:rsidRPr="003F0CB1">
              <w:t xml:space="preserve">respond to a ‘call out’ </w:t>
            </w:r>
            <w:r>
              <w:t xml:space="preserve">payments to be made </w:t>
            </w:r>
            <w:r w:rsidRPr="003570FF">
              <w:t xml:space="preserve">at </w:t>
            </w:r>
            <w:r>
              <w:t>the approved rates</w:t>
            </w:r>
          </w:p>
        </w:tc>
      </w:tr>
      <w:tr w:rsidR="00BF1C61" w:rsidRPr="003570FF" w14:paraId="47E93420" w14:textId="77777777" w:rsidTr="00BF1C61">
        <w:tc>
          <w:tcPr>
            <w:tcW w:w="2978" w:type="dxa"/>
            <w:tcBorders>
              <w:top w:val="single" w:sz="4" w:space="0" w:color="auto"/>
              <w:bottom w:val="single" w:sz="4" w:space="0" w:color="auto"/>
            </w:tcBorders>
          </w:tcPr>
          <w:p w14:paraId="7DC9A7A9" w14:textId="77777777" w:rsidR="00BF1C61" w:rsidRPr="003570FF" w:rsidRDefault="00BF1C61" w:rsidP="00BF1C61">
            <w:pPr>
              <w:pStyle w:val="ListParagraph"/>
              <w:ind w:left="0"/>
              <w:rPr>
                <w:b/>
              </w:rPr>
            </w:pPr>
          </w:p>
          <w:p w14:paraId="3C31F887" w14:textId="77777777" w:rsidR="00BF1C61" w:rsidRPr="0099454F" w:rsidRDefault="00BF1C61" w:rsidP="00BF1C61">
            <w:pPr>
              <w:rPr>
                <w:b/>
              </w:rPr>
            </w:pPr>
            <w:r w:rsidRPr="0099454F">
              <w:rPr>
                <w:b/>
              </w:rPr>
              <w:t>Grounds Maintenance</w:t>
            </w:r>
          </w:p>
        </w:tc>
        <w:tc>
          <w:tcPr>
            <w:tcW w:w="12757" w:type="dxa"/>
            <w:tcBorders>
              <w:top w:val="single" w:sz="4" w:space="0" w:color="auto"/>
              <w:bottom w:val="single" w:sz="4" w:space="0" w:color="auto"/>
            </w:tcBorders>
          </w:tcPr>
          <w:p w14:paraId="64182FE1" w14:textId="77777777" w:rsidR="00BF1C61" w:rsidRPr="003570FF" w:rsidRDefault="00BF1C61" w:rsidP="00BF1C61">
            <w:pPr>
              <w:pStyle w:val="ListParagraph"/>
              <w:numPr>
                <w:ilvl w:val="0"/>
                <w:numId w:val="23"/>
              </w:numPr>
              <w:tabs>
                <w:tab w:val="left" w:pos="709"/>
              </w:tabs>
              <w:ind w:left="317" w:hanging="317"/>
              <w:jc w:val="left"/>
            </w:pPr>
            <w:r>
              <w:t>‘</w:t>
            </w:r>
            <w:r w:rsidRPr="003570FF">
              <w:t xml:space="preserve">standby’ to continue to operate on an informal basis as and when required </w:t>
            </w:r>
            <w:r>
              <w:t xml:space="preserve">for emergency sandbagging </w:t>
            </w:r>
            <w:r w:rsidRPr="003570FF">
              <w:t xml:space="preserve">as currently in operation; </w:t>
            </w:r>
          </w:p>
          <w:p w14:paraId="0EF1A69B" w14:textId="77777777" w:rsidR="00BF1C61" w:rsidRPr="006D0D09" w:rsidRDefault="00BF1C61" w:rsidP="00BF1C61">
            <w:pPr>
              <w:pStyle w:val="ListParagraph"/>
              <w:numPr>
                <w:ilvl w:val="0"/>
                <w:numId w:val="23"/>
              </w:numPr>
              <w:tabs>
                <w:tab w:val="left" w:pos="709"/>
              </w:tabs>
              <w:ind w:left="317" w:hanging="317"/>
              <w:jc w:val="left"/>
              <w:rPr>
                <w:b/>
              </w:rPr>
            </w:pPr>
            <w:r w:rsidRPr="003570FF">
              <w:t>corporate ‘standby’ payment  (if and when officers placed on ‘standby’);</w:t>
            </w:r>
          </w:p>
          <w:p w14:paraId="67912FF2" w14:textId="77777777" w:rsidR="00BF1C61" w:rsidRPr="0003026F" w:rsidRDefault="00BF1C61" w:rsidP="00BF1C61">
            <w:pPr>
              <w:pStyle w:val="ListParagraph"/>
              <w:numPr>
                <w:ilvl w:val="0"/>
                <w:numId w:val="23"/>
              </w:numPr>
              <w:tabs>
                <w:tab w:val="left" w:pos="709"/>
              </w:tabs>
              <w:ind w:left="317" w:hanging="317"/>
              <w:jc w:val="left"/>
              <w:rPr>
                <w:b/>
              </w:rPr>
            </w:pPr>
            <w:r>
              <w:t>‘</w:t>
            </w:r>
            <w:r w:rsidRPr="00ED0DDB">
              <w:t>Call out</w:t>
            </w:r>
            <w:r>
              <w:t>’</w:t>
            </w:r>
            <w:r w:rsidRPr="00ED0DDB">
              <w:t xml:space="preserve"> payments to be made at the approved rates.</w:t>
            </w:r>
          </w:p>
        </w:tc>
      </w:tr>
      <w:tr w:rsidR="00BF1C61" w:rsidRPr="003570FF" w14:paraId="3B4F107F" w14:textId="77777777" w:rsidTr="00BF1C61">
        <w:tc>
          <w:tcPr>
            <w:tcW w:w="2978" w:type="dxa"/>
            <w:tcBorders>
              <w:top w:val="single" w:sz="4" w:space="0" w:color="auto"/>
              <w:bottom w:val="single" w:sz="4" w:space="0" w:color="auto"/>
            </w:tcBorders>
          </w:tcPr>
          <w:p w14:paraId="588187F7" w14:textId="77777777" w:rsidR="00BF1C61" w:rsidRPr="003570FF" w:rsidRDefault="00BF1C61" w:rsidP="00BF1C61">
            <w:pPr>
              <w:pStyle w:val="ListParagraph"/>
              <w:ind w:left="0"/>
              <w:rPr>
                <w:b/>
              </w:rPr>
            </w:pPr>
            <w:r w:rsidRPr="003570FF">
              <w:rPr>
                <w:b/>
              </w:rPr>
              <w:t>Planning Development</w:t>
            </w:r>
          </w:p>
        </w:tc>
        <w:tc>
          <w:tcPr>
            <w:tcW w:w="12757" w:type="dxa"/>
            <w:tcBorders>
              <w:top w:val="single" w:sz="4" w:space="0" w:color="auto"/>
              <w:bottom w:val="single" w:sz="4" w:space="0" w:color="auto"/>
            </w:tcBorders>
          </w:tcPr>
          <w:p w14:paraId="7C49EE7C" w14:textId="77777777" w:rsidR="00BF1C61" w:rsidRPr="0003026F" w:rsidRDefault="00BF1C61" w:rsidP="00BF1C61">
            <w:pPr>
              <w:ind w:left="34" w:hanging="34"/>
              <w:rPr>
                <w:b/>
              </w:rPr>
            </w:pPr>
            <w:r w:rsidRPr="003570FF">
              <w:t>The arrangements agreed at CMT on 5 April 2010 for an enforcement service over the bank holiday period to continue to operate</w:t>
            </w:r>
          </w:p>
        </w:tc>
      </w:tr>
      <w:tr w:rsidR="00BF1C61" w:rsidRPr="003570FF" w14:paraId="34AA71FB" w14:textId="77777777" w:rsidTr="00BF1C61">
        <w:tc>
          <w:tcPr>
            <w:tcW w:w="2978" w:type="dxa"/>
            <w:tcBorders>
              <w:top w:val="single" w:sz="4" w:space="0" w:color="auto"/>
              <w:bottom w:val="single" w:sz="4" w:space="0" w:color="auto"/>
            </w:tcBorders>
          </w:tcPr>
          <w:p w14:paraId="63389EF1" w14:textId="77777777" w:rsidR="00BF1C61" w:rsidRPr="003570FF" w:rsidRDefault="00BF1C61" w:rsidP="00BF1C61">
            <w:pPr>
              <w:pStyle w:val="ListParagraph"/>
              <w:ind w:left="0"/>
              <w:rPr>
                <w:b/>
              </w:rPr>
            </w:pPr>
            <w:r w:rsidRPr="003570FF">
              <w:rPr>
                <w:b/>
              </w:rPr>
              <w:t>Marketing and Promotions</w:t>
            </w:r>
          </w:p>
        </w:tc>
        <w:tc>
          <w:tcPr>
            <w:tcW w:w="12757" w:type="dxa"/>
            <w:tcBorders>
              <w:top w:val="single" w:sz="4" w:space="0" w:color="auto"/>
              <w:bottom w:val="single" w:sz="4" w:space="0" w:color="auto"/>
            </w:tcBorders>
          </w:tcPr>
          <w:p w14:paraId="0E367658" w14:textId="77777777" w:rsidR="00BF1C61" w:rsidRPr="006D0D09" w:rsidRDefault="00BF1C61" w:rsidP="00BF1C61">
            <w:pPr>
              <w:pStyle w:val="ListParagraph"/>
              <w:numPr>
                <w:ilvl w:val="0"/>
                <w:numId w:val="42"/>
              </w:numPr>
              <w:ind w:left="317" w:hanging="317"/>
              <w:jc w:val="left"/>
              <w:rPr>
                <w:b/>
              </w:rPr>
            </w:pPr>
            <w:r w:rsidRPr="003570FF">
              <w:t xml:space="preserve">No change to  current arrangements </w:t>
            </w:r>
          </w:p>
          <w:p w14:paraId="5A66CBEF" w14:textId="77777777" w:rsidR="00BF1C61" w:rsidRPr="0003026F" w:rsidRDefault="00BF1C61" w:rsidP="00BF1C61">
            <w:pPr>
              <w:pStyle w:val="ListParagraph"/>
              <w:numPr>
                <w:ilvl w:val="0"/>
                <w:numId w:val="42"/>
              </w:numPr>
              <w:ind w:left="317" w:hanging="317"/>
              <w:jc w:val="left"/>
              <w:rPr>
                <w:b/>
              </w:rPr>
            </w:pPr>
            <w:r w:rsidRPr="003570FF">
              <w:t xml:space="preserve">Business </w:t>
            </w:r>
            <w:r w:rsidRPr="003570FF">
              <w:rPr>
                <w:rFonts w:eastAsia="Times New Roman" w:cs="Times New Roman"/>
                <w:lang w:eastAsia="en-GB"/>
              </w:rPr>
              <w:t>Manager will continue to be available in cases of emergency or business continuity issues.</w:t>
            </w:r>
          </w:p>
        </w:tc>
      </w:tr>
      <w:tr w:rsidR="00BF1C61" w:rsidRPr="003570FF" w14:paraId="249E81F3" w14:textId="77777777" w:rsidTr="00BF1C61">
        <w:tc>
          <w:tcPr>
            <w:tcW w:w="2978" w:type="dxa"/>
            <w:tcBorders>
              <w:top w:val="single" w:sz="4" w:space="0" w:color="auto"/>
              <w:bottom w:val="single" w:sz="4" w:space="0" w:color="auto"/>
            </w:tcBorders>
          </w:tcPr>
          <w:p w14:paraId="09E38214" w14:textId="77777777" w:rsidR="00BF1C61" w:rsidRPr="0099454F" w:rsidRDefault="00BF1C61" w:rsidP="00BF1C61">
            <w:pPr>
              <w:rPr>
                <w:b/>
              </w:rPr>
            </w:pPr>
            <w:r w:rsidRPr="0099454F">
              <w:rPr>
                <w:b/>
              </w:rPr>
              <w:t>Business Managers</w:t>
            </w:r>
          </w:p>
        </w:tc>
        <w:tc>
          <w:tcPr>
            <w:tcW w:w="12757" w:type="dxa"/>
            <w:tcBorders>
              <w:top w:val="single" w:sz="4" w:space="0" w:color="auto"/>
              <w:bottom w:val="single" w:sz="4" w:space="0" w:color="auto"/>
            </w:tcBorders>
          </w:tcPr>
          <w:p w14:paraId="7801EF36" w14:textId="77777777" w:rsidR="00BF7396" w:rsidRPr="00BF7396" w:rsidRDefault="00BF7396" w:rsidP="00BF1C61">
            <w:pPr>
              <w:pStyle w:val="ListParagraph"/>
              <w:numPr>
                <w:ilvl w:val="0"/>
                <w:numId w:val="46"/>
              </w:numPr>
              <w:ind w:left="317" w:hanging="317"/>
              <w:jc w:val="left"/>
              <w:rPr>
                <w:b/>
              </w:rPr>
            </w:pPr>
            <w:r>
              <w:t xml:space="preserve">No </w:t>
            </w:r>
            <w:r w:rsidR="00BF1C61" w:rsidRPr="003570FF">
              <w:t xml:space="preserve">formal ‘standby’ rota and payments </w:t>
            </w:r>
          </w:p>
          <w:p w14:paraId="7D42E26D" w14:textId="77777777" w:rsidR="00BF1C61" w:rsidRPr="00BF7396" w:rsidRDefault="00BF1C61" w:rsidP="00BF1C61">
            <w:pPr>
              <w:pStyle w:val="ListParagraph"/>
              <w:numPr>
                <w:ilvl w:val="0"/>
                <w:numId w:val="46"/>
              </w:numPr>
              <w:ind w:left="317" w:hanging="317"/>
              <w:jc w:val="left"/>
              <w:rPr>
                <w:b/>
              </w:rPr>
            </w:pPr>
            <w:r w:rsidRPr="00ED0DDB">
              <w:t>Call out payments to be made at the approved rates</w:t>
            </w:r>
            <w:r>
              <w:t xml:space="preserve"> if responding to a ‘call out’</w:t>
            </w:r>
            <w:r w:rsidRPr="00ED0DDB">
              <w:t>.</w:t>
            </w:r>
          </w:p>
          <w:p w14:paraId="09F55A86" w14:textId="77777777" w:rsidR="00BF1C61" w:rsidRPr="0003026F" w:rsidRDefault="00BF1C61" w:rsidP="00BF1C61">
            <w:pPr>
              <w:ind w:left="317" w:hanging="317"/>
              <w:rPr>
                <w:b/>
              </w:rPr>
            </w:pPr>
          </w:p>
        </w:tc>
      </w:tr>
    </w:tbl>
    <w:p w14:paraId="6FEC14C0" w14:textId="77777777" w:rsidR="00620E4C" w:rsidRDefault="00620E4C">
      <w:pPr>
        <w:rPr>
          <w:b/>
        </w:rPr>
      </w:pPr>
    </w:p>
    <w:p w14:paraId="4EE502E9" w14:textId="77777777" w:rsidR="00BF1C61" w:rsidRPr="003570FF" w:rsidRDefault="00BF1C61" w:rsidP="00BF1C61">
      <w:pPr>
        <w:ind w:left="-426"/>
        <w:rPr>
          <w:b/>
          <w:lang w:eastAsia="en-GB"/>
        </w:rPr>
      </w:pPr>
      <w:r w:rsidRPr="003570FF">
        <w:rPr>
          <w:b/>
          <w:lang w:eastAsia="en-GB"/>
        </w:rPr>
        <w:t>INTRUDER ALARM RESPONSES</w:t>
      </w:r>
    </w:p>
    <w:p w14:paraId="42AD738B" w14:textId="77777777" w:rsidR="00BF1C61" w:rsidRDefault="00BF1C61" w:rsidP="00BF1C61">
      <w:pPr>
        <w:ind w:left="567" w:right="818" w:hanging="567"/>
        <w:jc w:val="right"/>
        <w:rPr>
          <w:b/>
          <w:u w:val="single"/>
        </w:rPr>
      </w:pPr>
    </w:p>
    <w:tbl>
      <w:tblPr>
        <w:tblStyle w:val="TableGrid"/>
        <w:tblW w:w="13609" w:type="dxa"/>
        <w:tblInd w:w="-318" w:type="dxa"/>
        <w:tblLayout w:type="fixed"/>
        <w:tblLook w:val="04A0" w:firstRow="1" w:lastRow="0" w:firstColumn="1" w:lastColumn="0" w:noHBand="0" w:noVBand="1"/>
      </w:tblPr>
      <w:tblGrid>
        <w:gridCol w:w="3970"/>
        <w:gridCol w:w="9639"/>
      </w:tblGrid>
      <w:tr w:rsidR="00BF1C61" w:rsidRPr="003570FF" w14:paraId="035A3DFD" w14:textId="77777777" w:rsidTr="00BF1C61">
        <w:tc>
          <w:tcPr>
            <w:tcW w:w="3970" w:type="dxa"/>
            <w:tcBorders>
              <w:top w:val="single" w:sz="4" w:space="0" w:color="auto"/>
              <w:bottom w:val="single" w:sz="4" w:space="0" w:color="auto"/>
            </w:tcBorders>
          </w:tcPr>
          <w:p w14:paraId="13367F9A" w14:textId="77777777" w:rsidR="00BF1C61" w:rsidRDefault="00BF1C61" w:rsidP="00BF1C61">
            <w:pPr>
              <w:pStyle w:val="ListParagraph"/>
              <w:ind w:left="567" w:hanging="567"/>
            </w:pPr>
          </w:p>
          <w:p w14:paraId="2CCA0433" w14:textId="77777777" w:rsidR="00BF1C61" w:rsidRPr="009407CD" w:rsidRDefault="00BF1C61" w:rsidP="00BF1C61">
            <w:pPr>
              <w:pStyle w:val="ListParagraph"/>
              <w:ind w:left="567" w:hanging="567"/>
            </w:pPr>
            <w:r w:rsidRPr="009407CD">
              <w:t>Leisure Centres</w:t>
            </w:r>
          </w:p>
          <w:p w14:paraId="5D0FD66B" w14:textId="77777777" w:rsidR="00BF1C61" w:rsidRPr="009407CD" w:rsidRDefault="00BF1C61" w:rsidP="00BF1C61">
            <w:pPr>
              <w:pStyle w:val="ListParagraph"/>
              <w:ind w:left="567" w:hanging="567"/>
            </w:pPr>
            <w:r w:rsidRPr="009407CD">
              <w:t>Customer Services</w:t>
            </w:r>
          </w:p>
          <w:p w14:paraId="43A1A20F" w14:textId="77777777" w:rsidR="00BF1C61" w:rsidRDefault="00BF1C61" w:rsidP="00BF1C61">
            <w:pPr>
              <w:pStyle w:val="ListParagraph"/>
              <w:ind w:left="567" w:hanging="567"/>
            </w:pPr>
            <w:r w:rsidRPr="009407CD">
              <w:t>Parks and Amenities</w:t>
            </w:r>
          </w:p>
          <w:p w14:paraId="2AD2F576" w14:textId="77777777" w:rsidR="00BF1C61" w:rsidRPr="009407CD" w:rsidRDefault="00BF1C61" w:rsidP="00BF1C61">
            <w:pPr>
              <w:pStyle w:val="ListParagraph"/>
              <w:ind w:left="567" w:hanging="567"/>
            </w:pPr>
            <w:r>
              <w:t>Museums</w:t>
            </w:r>
          </w:p>
          <w:p w14:paraId="7A1F8BCD" w14:textId="77777777" w:rsidR="00BF1C61" w:rsidRPr="009407CD" w:rsidRDefault="00BF1C61" w:rsidP="00BF1C61">
            <w:pPr>
              <w:pStyle w:val="ListParagraph"/>
              <w:ind w:left="567" w:hanging="567"/>
            </w:pPr>
          </w:p>
        </w:tc>
        <w:tc>
          <w:tcPr>
            <w:tcW w:w="9639" w:type="dxa"/>
            <w:tcBorders>
              <w:top w:val="single" w:sz="4" w:space="0" w:color="auto"/>
              <w:bottom w:val="single" w:sz="4" w:space="0" w:color="auto"/>
            </w:tcBorders>
          </w:tcPr>
          <w:p w14:paraId="274332CE" w14:textId="77777777" w:rsidR="00BF1C61" w:rsidRPr="00980676" w:rsidRDefault="00BF1C61" w:rsidP="00BF1C61">
            <w:pPr>
              <w:pStyle w:val="ListParagraph"/>
              <w:ind w:left="567"/>
              <w:rPr>
                <w:b/>
              </w:rPr>
            </w:pPr>
          </w:p>
          <w:p w14:paraId="5800E213" w14:textId="77777777" w:rsidR="00BF1C61" w:rsidRPr="004070D2" w:rsidRDefault="00BF1C61" w:rsidP="00BF1C61">
            <w:pPr>
              <w:pStyle w:val="ListParagraph"/>
              <w:numPr>
                <w:ilvl w:val="0"/>
                <w:numId w:val="46"/>
              </w:numPr>
              <w:ind w:left="567" w:hanging="567"/>
              <w:jc w:val="left"/>
              <w:rPr>
                <w:b/>
              </w:rPr>
            </w:pPr>
            <w:r w:rsidRPr="003570FF">
              <w:t xml:space="preserve">Current informal cascade arrangements to continue to operate </w:t>
            </w:r>
          </w:p>
          <w:p w14:paraId="34EDD98E" w14:textId="77777777" w:rsidR="00BF1C61" w:rsidRPr="004070D2" w:rsidRDefault="00BF1C61" w:rsidP="00BF1C61">
            <w:pPr>
              <w:pStyle w:val="ListParagraph"/>
              <w:numPr>
                <w:ilvl w:val="0"/>
                <w:numId w:val="46"/>
              </w:numPr>
              <w:ind w:left="567" w:hanging="567"/>
              <w:jc w:val="left"/>
              <w:rPr>
                <w:b/>
              </w:rPr>
            </w:pPr>
            <w:r w:rsidRPr="00ED0DDB">
              <w:t>Call out payments to be made at the approved rates</w:t>
            </w:r>
            <w:r>
              <w:t xml:space="preserve"> with </w:t>
            </w:r>
            <w:r w:rsidRPr="00BF7396">
              <w:t>immediate effect</w:t>
            </w:r>
            <w:r w:rsidRPr="00ED0DDB">
              <w:t>.</w:t>
            </w:r>
          </w:p>
          <w:p w14:paraId="23BFF095" w14:textId="77777777" w:rsidR="00BF1C61" w:rsidRDefault="00BF1C61" w:rsidP="00BF1C61">
            <w:pPr>
              <w:pStyle w:val="ListParagraph"/>
              <w:numPr>
                <w:ilvl w:val="0"/>
                <w:numId w:val="18"/>
              </w:numPr>
              <w:ind w:left="567" w:hanging="567"/>
              <w:jc w:val="left"/>
            </w:pPr>
            <w:r w:rsidRPr="003570FF">
              <w:t xml:space="preserve">No further requirement to be called out </w:t>
            </w:r>
            <w:r>
              <w:t xml:space="preserve">in the event that a </w:t>
            </w:r>
            <w:r w:rsidRPr="003570FF">
              <w:t xml:space="preserve">corporate contract </w:t>
            </w:r>
            <w:r>
              <w:t xml:space="preserve">is put </w:t>
            </w:r>
            <w:r w:rsidRPr="003570FF">
              <w:t>in</w:t>
            </w:r>
            <w:r>
              <w:t>to</w:t>
            </w:r>
            <w:r w:rsidRPr="003570FF">
              <w:t xml:space="preserve"> place</w:t>
            </w:r>
            <w:r>
              <w:t>, at which point appropriate notice will be served.</w:t>
            </w:r>
          </w:p>
          <w:p w14:paraId="157D4F5C" w14:textId="77777777" w:rsidR="00BF1C61" w:rsidRPr="003570FF" w:rsidRDefault="00BF1C61" w:rsidP="00BF1C61">
            <w:pPr>
              <w:pStyle w:val="ListParagraph"/>
              <w:ind w:left="567"/>
            </w:pPr>
          </w:p>
        </w:tc>
      </w:tr>
      <w:tr w:rsidR="00BF1C61" w:rsidRPr="003570FF" w14:paraId="075BB611" w14:textId="77777777" w:rsidTr="00BF1C61">
        <w:tc>
          <w:tcPr>
            <w:tcW w:w="3970" w:type="dxa"/>
            <w:tcBorders>
              <w:top w:val="single" w:sz="4" w:space="0" w:color="auto"/>
              <w:bottom w:val="single" w:sz="4" w:space="0" w:color="auto"/>
            </w:tcBorders>
          </w:tcPr>
          <w:p w14:paraId="3808C3EA" w14:textId="77777777" w:rsidR="00BF1C61" w:rsidRDefault="00BF1C61" w:rsidP="00BF1C61">
            <w:pPr>
              <w:pStyle w:val="ListParagraph"/>
              <w:ind w:left="567" w:hanging="567"/>
            </w:pPr>
          </w:p>
          <w:p w14:paraId="4350B9E8" w14:textId="77777777" w:rsidR="00BF1C61" w:rsidRPr="009407CD" w:rsidRDefault="00BF1C61" w:rsidP="00BF1C61">
            <w:pPr>
              <w:pStyle w:val="ListParagraph"/>
              <w:ind w:left="567" w:hanging="567"/>
            </w:pPr>
            <w:r w:rsidRPr="009407CD">
              <w:t>Corporate Property</w:t>
            </w:r>
          </w:p>
        </w:tc>
        <w:tc>
          <w:tcPr>
            <w:tcW w:w="9639" w:type="dxa"/>
            <w:tcBorders>
              <w:top w:val="single" w:sz="4" w:space="0" w:color="auto"/>
              <w:bottom w:val="single" w:sz="4" w:space="0" w:color="auto"/>
            </w:tcBorders>
          </w:tcPr>
          <w:p w14:paraId="0AF8C137" w14:textId="77777777" w:rsidR="00BF1C61" w:rsidRDefault="00BF1C61" w:rsidP="00BF1C61">
            <w:pPr>
              <w:pStyle w:val="ListParagraph"/>
              <w:ind w:left="567"/>
            </w:pPr>
          </w:p>
          <w:p w14:paraId="04191CD9" w14:textId="77777777" w:rsidR="00BF1C61" w:rsidRDefault="00BF1C61" w:rsidP="00BF1C61">
            <w:pPr>
              <w:pStyle w:val="ListParagraph"/>
              <w:numPr>
                <w:ilvl w:val="0"/>
                <w:numId w:val="32"/>
              </w:numPr>
              <w:ind w:left="567" w:hanging="567"/>
              <w:jc w:val="left"/>
            </w:pPr>
            <w:r w:rsidRPr="003570FF">
              <w:t xml:space="preserve">Current ‘standby’/‘call out’ arrangements to continue to operate </w:t>
            </w:r>
          </w:p>
          <w:p w14:paraId="52745758" w14:textId="77777777" w:rsidR="00BF1C61" w:rsidRDefault="00BF1C61" w:rsidP="00BF1C61">
            <w:pPr>
              <w:pStyle w:val="ListParagraph"/>
              <w:numPr>
                <w:ilvl w:val="0"/>
                <w:numId w:val="32"/>
              </w:numPr>
              <w:ind w:left="567" w:hanging="567"/>
              <w:jc w:val="left"/>
            </w:pPr>
            <w:r>
              <w:t>C</w:t>
            </w:r>
            <w:r w:rsidRPr="003570FF">
              <w:t>orporate ‘‘standby’’ at agreed rates (weekend only)</w:t>
            </w:r>
          </w:p>
          <w:p w14:paraId="5447B2BE" w14:textId="77777777" w:rsidR="00BF1C61" w:rsidRPr="003570FF" w:rsidRDefault="00BF1C61" w:rsidP="00BF1C61">
            <w:pPr>
              <w:pStyle w:val="ListParagraph"/>
              <w:numPr>
                <w:ilvl w:val="0"/>
                <w:numId w:val="46"/>
              </w:numPr>
              <w:ind w:left="567" w:hanging="567"/>
              <w:jc w:val="left"/>
              <w:rPr>
                <w:b/>
              </w:rPr>
            </w:pPr>
            <w:r w:rsidRPr="00ED0DDB">
              <w:t>Call out payments to be made at the approved rates.</w:t>
            </w:r>
            <w:r>
              <w:t xml:space="preserve"> (weekend only)</w:t>
            </w:r>
          </w:p>
          <w:p w14:paraId="5DA112D1" w14:textId="77777777" w:rsidR="00BF1C61" w:rsidRPr="003570FF" w:rsidRDefault="00BF1C61" w:rsidP="00BF7396">
            <w:pPr>
              <w:pStyle w:val="ListParagraph"/>
              <w:numPr>
                <w:ilvl w:val="0"/>
                <w:numId w:val="32"/>
              </w:numPr>
              <w:ind w:left="567" w:hanging="567"/>
              <w:jc w:val="left"/>
            </w:pPr>
            <w:r w:rsidRPr="003570FF">
              <w:t xml:space="preserve">No further requirement to be called out </w:t>
            </w:r>
            <w:r>
              <w:t xml:space="preserve">in the event that a </w:t>
            </w:r>
            <w:r w:rsidRPr="003570FF">
              <w:t xml:space="preserve">corporate contract </w:t>
            </w:r>
            <w:r>
              <w:t xml:space="preserve">is put </w:t>
            </w:r>
            <w:r w:rsidRPr="003570FF">
              <w:t>in</w:t>
            </w:r>
            <w:r>
              <w:t>to</w:t>
            </w:r>
            <w:r w:rsidRPr="003570FF">
              <w:t xml:space="preserve"> place</w:t>
            </w:r>
            <w:r>
              <w:t xml:space="preserve"> at which point appropriate notice will be served.</w:t>
            </w:r>
          </w:p>
        </w:tc>
      </w:tr>
    </w:tbl>
    <w:p w14:paraId="6464715B" w14:textId="77777777" w:rsidR="00BF1C61" w:rsidRDefault="00BF1C61">
      <w:pPr>
        <w:rPr>
          <w:b/>
        </w:rPr>
      </w:pPr>
    </w:p>
    <w:sectPr w:rsidR="00BF1C61" w:rsidSect="00BF1C61">
      <w:pgSz w:w="16838" w:h="11906" w:orient="landscape"/>
      <w:pgMar w:top="1440" w:right="567"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2CC"/>
    <w:multiLevelType w:val="hybridMultilevel"/>
    <w:tmpl w:val="FF7CE5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11A11"/>
    <w:multiLevelType w:val="hybridMultilevel"/>
    <w:tmpl w:val="74846C5C"/>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 w15:restartNumberingAfterBreak="0">
    <w:nsid w:val="031A33B9"/>
    <w:multiLevelType w:val="hybridMultilevel"/>
    <w:tmpl w:val="290C0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7C2DAE"/>
    <w:multiLevelType w:val="hybridMultilevel"/>
    <w:tmpl w:val="503A321C"/>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4" w15:restartNumberingAfterBreak="0">
    <w:nsid w:val="05EE360F"/>
    <w:multiLevelType w:val="hybridMultilevel"/>
    <w:tmpl w:val="4A10C868"/>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5" w15:restartNumberingAfterBreak="0">
    <w:nsid w:val="07C374A8"/>
    <w:multiLevelType w:val="hybridMultilevel"/>
    <w:tmpl w:val="5C6CE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C25DFA"/>
    <w:multiLevelType w:val="hybridMultilevel"/>
    <w:tmpl w:val="1FE877B6"/>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7" w15:restartNumberingAfterBreak="0">
    <w:nsid w:val="11EC2C22"/>
    <w:multiLevelType w:val="hybridMultilevel"/>
    <w:tmpl w:val="918E5902"/>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8" w15:restartNumberingAfterBreak="0">
    <w:nsid w:val="159477AC"/>
    <w:multiLevelType w:val="hybridMultilevel"/>
    <w:tmpl w:val="8FE274DE"/>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9" w15:restartNumberingAfterBreak="0">
    <w:nsid w:val="16126F3F"/>
    <w:multiLevelType w:val="hybridMultilevel"/>
    <w:tmpl w:val="9F0AF3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2F3369"/>
    <w:multiLevelType w:val="hybridMultilevel"/>
    <w:tmpl w:val="DE260EB4"/>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26734F99"/>
    <w:multiLevelType w:val="hybridMultilevel"/>
    <w:tmpl w:val="EBCA689A"/>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2" w15:restartNumberingAfterBreak="0">
    <w:nsid w:val="28D357F3"/>
    <w:multiLevelType w:val="hybridMultilevel"/>
    <w:tmpl w:val="B9A43FB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3" w15:restartNumberingAfterBreak="0">
    <w:nsid w:val="2BBA3B5C"/>
    <w:multiLevelType w:val="hybridMultilevel"/>
    <w:tmpl w:val="2FE00D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C334B28"/>
    <w:multiLevelType w:val="hybridMultilevel"/>
    <w:tmpl w:val="E25C761E"/>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15" w15:restartNumberingAfterBreak="0">
    <w:nsid w:val="2C9C1475"/>
    <w:multiLevelType w:val="hybridMultilevel"/>
    <w:tmpl w:val="00EEE5F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6" w15:restartNumberingAfterBreak="0">
    <w:nsid w:val="2F0C2A4A"/>
    <w:multiLevelType w:val="hybridMultilevel"/>
    <w:tmpl w:val="33DCF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430F39"/>
    <w:multiLevelType w:val="hybridMultilevel"/>
    <w:tmpl w:val="78EC6EC6"/>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8" w15:restartNumberingAfterBreak="0">
    <w:nsid w:val="37FC0B65"/>
    <w:multiLevelType w:val="hybridMultilevel"/>
    <w:tmpl w:val="9D6A9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4D2539"/>
    <w:multiLevelType w:val="hybridMultilevel"/>
    <w:tmpl w:val="88721174"/>
    <w:lvl w:ilvl="0" w:tplc="08090001">
      <w:start w:val="1"/>
      <w:numFmt w:val="bullet"/>
      <w:lvlText w:val=""/>
      <w:lvlJc w:val="left"/>
      <w:pPr>
        <w:ind w:left="1310" w:hanging="360"/>
      </w:pPr>
      <w:rPr>
        <w:rFonts w:ascii="Symbol" w:hAnsi="Symbol" w:hint="default"/>
      </w:rPr>
    </w:lvl>
    <w:lvl w:ilvl="1" w:tplc="08090003">
      <w:start w:val="1"/>
      <w:numFmt w:val="bullet"/>
      <w:lvlText w:val="o"/>
      <w:lvlJc w:val="left"/>
      <w:pPr>
        <w:ind w:left="2030" w:hanging="360"/>
      </w:pPr>
      <w:rPr>
        <w:rFonts w:ascii="Courier New" w:hAnsi="Courier New" w:cs="Courier New" w:hint="default"/>
      </w:rPr>
    </w:lvl>
    <w:lvl w:ilvl="2" w:tplc="08090005" w:tentative="1">
      <w:start w:val="1"/>
      <w:numFmt w:val="bullet"/>
      <w:lvlText w:val=""/>
      <w:lvlJc w:val="left"/>
      <w:pPr>
        <w:ind w:left="2750" w:hanging="360"/>
      </w:pPr>
      <w:rPr>
        <w:rFonts w:ascii="Wingdings" w:hAnsi="Wingdings" w:hint="default"/>
      </w:rPr>
    </w:lvl>
    <w:lvl w:ilvl="3" w:tplc="08090001" w:tentative="1">
      <w:start w:val="1"/>
      <w:numFmt w:val="bullet"/>
      <w:lvlText w:val=""/>
      <w:lvlJc w:val="left"/>
      <w:pPr>
        <w:ind w:left="3470" w:hanging="360"/>
      </w:pPr>
      <w:rPr>
        <w:rFonts w:ascii="Symbol" w:hAnsi="Symbol" w:hint="default"/>
      </w:rPr>
    </w:lvl>
    <w:lvl w:ilvl="4" w:tplc="08090003" w:tentative="1">
      <w:start w:val="1"/>
      <w:numFmt w:val="bullet"/>
      <w:lvlText w:val="o"/>
      <w:lvlJc w:val="left"/>
      <w:pPr>
        <w:ind w:left="4190" w:hanging="360"/>
      </w:pPr>
      <w:rPr>
        <w:rFonts w:ascii="Courier New" w:hAnsi="Courier New" w:cs="Courier New" w:hint="default"/>
      </w:rPr>
    </w:lvl>
    <w:lvl w:ilvl="5" w:tplc="08090005" w:tentative="1">
      <w:start w:val="1"/>
      <w:numFmt w:val="bullet"/>
      <w:lvlText w:val=""/>
      <w:lvlJc w:val="left"/>
      <w:pPr>
        <w:ind w:left="4910" w:hanging="360"/>
      </w:pPr>
      <w:rPr>
        <w:rFonts w:ascii="Wingdings" w:hAnsi="Wingdings" w:hint="default"/>
      </w:rPr>
    </w:lvl>
    <w:lvl w:ilvl="6" w:tplc="08090001" w:tentative="1">
      <w:start w:val="1"/>
      <w:numFmt w:val="bullet"/>
      <w:lvlText w:val=""/>
      <w:lvlJc w:val="left"/>
      <w:pPr>
        <w:ind w:left="5630" w:hanging="360"/>
      </w:pPr>
      <w:rPr>
        <w:rFonts w:ascii="Symbol" w:hAnsi="Symbol" w:hint="default"/>
      </w:rPr>
    </w:lvl>
    <w:lvl w:ilvl="7" w:tplc="08090003" w:tentative="1">
      <w:start w:val="1"/>
      <w:numFmt w:val="bullet"/>
      <w:lvlText w:val="o"/>
      <w:lvlJc w:val="left"/>
      <w:pPr>
        <w:ind w:left="6350" w:hanging="360"/>
      </w:pPr>
      <w:rPr>
        <w:rFonts w:ascii="Courier New" w:hAnsi="Courier New" w:cs="Courier New" w:hint="default"/>
      </w:rPr>
    </w:lvl>
    <w:lvl w:ilvl="8" w:tplc="08090005" w:tentative="1">
      <w:start w:val="1"/>
      <w:numFmt w:val="bullet"/>
      <w:lvlText w:val=""/>
      <w:lvlJc w:val="left"/>
      <w:pPr>
        <w:ind w:left="7070" w:hanging="360"/>
      </w:pPr>
      <w:rPr>
        <w:rFonts w:ascii="Wingdings" w:hAnsi="Wingdings" w:hint="default"/>
      </w:rPr>
    </w:lvl>
  </w:abstractNum>
  <w:abstractNum w:abstractNumId="20" w15:restartNumberingAfterBreak="0">
    <w:nsid w:val="38AC6223"/>
    <w:multiLevelType w:val="hybridMultilevel"/>
    <w:tmpl w:val="FCE6C158"/>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1" w15:restartNumberingAfterBreak="0">
    <w:nsid w:val="39687B5F"/>
    <w:multiLevelType w:val="hybridMultilevel"/>
    <w:tmpl w:val="890AE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B64ACC"/>
    <w:multiLevelType w:val="hybridMultilevel"/>
    <w:tmpl w:val="4D3A38B8"/>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3" w15:restartNumberingAfterBreak="0">
    <w:nsid w:val="4DE80F82"/>
    <w:multiLevelType w:val="hybridMultilevel"/>
    <w:tmpl w:val="E320FCF0"/>
    <w:lvl w:ilvl="0" w:tplc="E96215E2">
      <w:start w:val="1"/>
      <w:numFmt w:val="lowerLetter"/>
      <w:lvlText w:val="%1)"/>
      <w:lvlJc w:val="left"/>
      <w:pPr>
        <w:ind w:left="1144" w:hanging="4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15:restartNumberingAfterBreak="0">
    <w:nsid w:val="4F1B1382"/>
    <w:multiLevelType w:val="hybridMultilevel"/>
    <w:tmpl w:val="228A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2D1F50"/>
    <w:multiLevelType w:val="hybridMultilevel"/>
    <w:tmpl w:val="D74A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A06046"/>
    <w:multiLevelType w:val="hybridMultilevel"/>
    <w:tmpl w:val="43F476F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7" w15:restartNumberingAfterBreak="0">
    <w:nsid w:val="51B67776"/>
    <w:multiLevelType w:val="hybridMultilevel"/>
    <w:tmpl w:val="8F7E6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0629E5"/>
    <w:multiLevelType w:val="hybridMultilevel"/>
    <w:tmpl w:val="2D6A9324"/>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9" w15:restartNumberingAfterBreak="0">
    <w:nsid w:val="59F132EA"/>
    <w:multiLevelType w:val="hybridMultilevel"/>
    <w:tmpl w:val="75DE4B90"/>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30" w15:restartNumberingAfterBreak="0">
    <w:nsid w:val="5A6A50B2"/>
    <w:multiLevelType w:val="hybridMultilevel"/>
    <w:tmpl w:val="194E4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831C00"/>
    <w:multiLevelType w:val="hybridMultilevel"/>
    <w:tmpl w:val="E05CD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ED6D33"/>
    <w:multiLevelType w:val="hybridMultilevel"/>
    <w:tmpl w:val="1430BB1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344BFF"/>
    <w:multiLevelType w:val="hybridMultilevel"/>
    <w:tmpl w:val="8CDEB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B20BC3"/>
    <w:multiLevelType w:val="hybridMultilevel"/>
    <w:tmpl w:val="E9ACF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8D52C5"/>
    <w:multiLevelType w:val="hybridMultilevel"/>
    <w:tmpl w:val="2402C81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6" w15:restartNumberingAfterBreak="0">
    <w:nsid w:val="65BF0DE6"/>
    <w:multiLevelType w:val="hybridMultilevel"/>
    <w:tmpl w:val="A1A81B5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7" w15:restartNumberingAfterBreak="0">
    <w:nsid w:val="66B20F45"/>
    <w:multiLevelType w:val="hybridMultilevel"/>
    <w:tmpl w:val="06D09FC6"/>
    <w:lvl w:ilvl="0" w:tplc="5B94983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8" w15:restartNumberingAfterBreak="0">
    <w:nsid w:val="670332A2"/>
    <w:multiLevelType w:val="hybridMultilevel"/>
    <w:tmpl w:val="7EB0917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694F547C"/>
    <w:multiLevelType w:val="hybridMultilevel"/>
    <w:tmpl w:val="CD84F39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40" w15:restartNumberingAfterBreak="0">
    <w:nsid w:val="69EB3CD7"/>
    <w:multiLevelType w:val="hybridMultilevel"/>
    <w:tmpl w:val="9F12F548"/>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41" w15:restartNumberingAfterBreak="0">
    <w:nsid w:val="716C7C6C"/>
    <w:multiLevelType w:val="hybridMultilevel"/>
    <w:tmpl w:val="08285F08"/>
    <w:lvl w:ilvl="0" w:tplc="B9DA710A">
      <w:start w:val="5"/>
      <w:numFmt w:val="bullet"/>
      <w:lvlText w:val="-"/>
      <w:lvlJc w:val="left"/>
      <w:pPr>
        <w:ind w:left="1494" w:hanging="360"/>
      </w:pPr>
      <w:rPr>
        <w:rFonts w:ascii="Calibri" w:eastAsiaTheme="minorHAnsi" w:hAnsi="Calibri" w:cstheme="minorBidi" w:hint="default"/>
        <w:b w:val="0"/>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2" w15:restartNumberingAfterBreak="0">
    <w:nsid w:val="75016F0D"/>
    <w:multiLevelType w:val="hybridMultilevel"/>
    <w:tmpl w:val="199E1BFE"/>
    <w:lvl w:ilvl="0" w:tplc="08090001">
      <w:start w:val="1"/>
      <w:numFmt w:val="bullet"/>
      <w:lvlText w:val=""/>
      <w:lvlJc w:val="left"/>
      <w:pPr>
        <w:ind w:left="1434" w:hanging="360"/>
      </w:pPr>
      <w:rPr>
        <w:rFonts w:ascii="Symbol" w:hAnsi="Symbol" w:hint="default"/>
      </w:rPr>
    </w:lvl>
    <w:lvl w:ilvl="1" w:tplc="08090003">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43" w15:restartNumberingAfterBreak="0">
    <w:nsid w:val="777D563E"/>
    <w:multiLevelType w:val="hybridMultilevel"/>
    <w:tmpl w:val="8688913A"/>
    <w:lvl w:ilvl="0" w:tplc="B9DA710A">
      <w:start w:val="5"/>
      <w:numFmt w:val="bullet"/>
      <w:lvlText w:val="-"/>
      <w:lvlJc w:val="left"/>
      <w:pPr>
        <w:ind w:left="1434" w:hanging="360"/>
      </w:pPr>
      <w:rPr>
        <w:rFonts w:ascii="Calibri" w:eastAsiaTheme="minorHAnsi" w:hAnsi="Calibri" w:cstheme="minorBidi" w:hint="default"/>
        <w:b w:val="0"/>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44" w15:restartNumberingAfterBreak="0">
    <w:nsid w:val="785D6627"/>
    <w:multiLevelType w:val="hybridMultilevel"/>
    <w:tmpl w:val="6BC83C1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7BB35876"/>
    <w:multiLevelType w:val="hybridMultilevel"/>
    <w:tmpl w:val="BBE26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F41A3F"/>
    <w:multiLevelType w:val="hybridMultilevel"/>
    <w:tmpl w:val="7938FE6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7" w15:restartNumberingAfterBreak="0">
    <w:nsid w:val="7FED7C7D"/>
    <w:multiLevelType w:val="hybridMultilevel"/>
    <w:tmpl w:val="47503316"/>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num w:numId="1" w16cid:durableId="1299608713">
    <w:abstractNumId w:val="4"/>
  </w:num>
  <w:num w:numId="2" w16cid:durableId="2035615167">
    <w:abstractNumId w:val="19"/>
  </w:num>
  <w:num w:numId="3" w16cid:durableId="1654286866">
    <w:abstractNumId w:val="18"/>
  </w:num>
  <w:num w:numId="4" w16cid:durableId="1045836895">
    <w:abstractNumId w:val="31"/>
  </w:num>
  <w:num w:numId="5" w16cid:durableId="2135907717">
    <w:abstractNumId w:val="0"/>
  </w:num>
  <w:num w:numId="6" w16cid:durableId="1454859331">
    <w:abstractNumId w:val="46"/>
  </w:num>
  <w:num w:numId="7" w16cid:durableId="600795191">
    <w:abstractNumId w:val="9"/>
  </w:num>
  <w:num w:numId="8" w16cid:durableId="1258515224">
    <w:abstractNumId w:val="3"/>
  </w:num>
  <w:num w:numId="9" w16cid:durableId="1400904490">
    <w:abstractNumId w:val="8"/>
  </w:num>
  <w:num w:numId="10" w16cid:durableId="7489606">
    <w:abstractNumId w:val="34"/>
  </w:num>
  <w:num w:numId="11" w16cid:durableId="260454754">
    <w:abstractNumId w:val="1"/>
  </w:num>
  <w:num w:numId="12" w16cid:durableId="1936983483">
    <w:abstractNumId w:val="29"/>
  </w:num>
  <w:num w:numId="13" w16cid:durableId="2053192746">
    <w:abstractNumId w:val="21"/>
  </w:num>
  <w:num w:numId="14" w16cid:durableId="843279114">
    <w:abstractNumId w:val="44"/>
  </w:num>
  <w:num w:numId="15" w16cid:durableId="1259943399">
    <w:abstractNumId w:val="23"/>
  </w:num>
  <w:num w:numId="16" w16cid:durableId="1211579308">
    <w:abstractNumId w:val="11"/>
  </w:num>
  <w:num w:numId="17" w16cid:durableId="394553506">
    <w:abstractNumId w:val="13"/>
  </w:num>
  <w:num w:numId="18" w16cid:durableId="373386477">
    <w:abstractNumId w:val="39"/>
  </w:num>
  <w:num w:numId="19" w16cid:durableId="1405109683">
    <w:abstractNumId w:val="28"/>
  </w:num>
  <w:num w:numId="20" w16cid:durableId="1470707686">
    <w:abstractNumId w:val="40"/>
  </w:num>
  <w:num w:numId="21" w16cid:durableId="981736657">
    <w:abstractNumId w:val="42"/>
  </w:num>
  <w:num w:numId="22" w16cid:durableId="608664993">
    <w:abstractNumId w:val="20"/>
  </w:num>
  <w:num w:numId="23" w16cid:durableId="1212352296">
    <w:abstractNumId w:val="22"/>
  </w:num>
  <w:num w:numId="24" w16cid:durableId="650718214">
    <w:abstractNumId w:val="24"/>
  </w:num>
  <w:num w:numId="25" w16cid:durableId="791675574">
    <w:abstractNumId w:val="5"/>
  </w:num>
  <w:num w:numId="26" w16cid:durableId="2112697336">
    <w:abstractNumId w:val="25"/>
  </w:num>
  <w:num w:numId="27" w16cid:durableId="100801665">
    <w:abstractNumId w:val="17"/>
  </w:num>
  <w:num w:numId="28" w16cid:durableId="732194124">
    <w:abstractNumId w:val="47"/>
  </w:num>
  <w:num w:numId="29" w16cid:durableId="1522744777">
    <w:abstractNumId w:val="33"/>
  </w:num>
  <w:num w:numId="30" w16cid:durableId="866411850">
    <w:abstractNumId w:val="30"/>
  </w:num>
  <w:num w:numId="31" w16cid:durableId="462037264">
    <w:abstractNumId w:val="27"/>
  </w:num>
  <w:num w:numId="32" w16cid:durableId="969818413">
    <w:abstractNumId w:val="32"/>
  </w:num>
  <w:num w:numId="33" w16cid:durableId="64030695">
    <w:abstractNumId w:val="16"/>
  </w:num>
  <w:num w:numId="34" w16cid:durableId="1446921222">
    <w:abstractNumId w:val="41"/>
  </w:num>
  <w:num w:numId="35" w16cid:durableId="1436899569">
    <w:abstractNumId w:val="43"/>
  </w:num>
  <w:num w:numId="36" w16cid:durableId="1492477563">
    <w:abstractNumId w:val="38"/>
  </w:num>
  <w:num w:numId="37" w16cid:durableId="1886790984">
    <w:abstractNumId w:val="37"/>
  </w:num>
  <w:num w:numId="38" w16cid:durableId="1827815421">
    <w:abstractNumId w:val="10"/>
  </w:num>
  <w:num w:numId="39" w16cid:durableId="397099876">
    <w:abstractNumId w:val="7"/>
  </w:num>
  <w:num w:numId="40" w16cid:durableId="789788201">
    <w:abstractNumId w:val="45"/>
  </w:num>
  <w:num w:numId="41" w16cid:durableId="1080368872">
    <w:abstractNumId w:val="14"/>
  </w:num>
  <w:num w:numId="42" w16cid:durableId="1157693632">
    <w:abstractNumId w:val="2"/>
  </w:num>
  <w:num w:numId="43" w16cid:durableId="1898541806">
    <w:abstractNumId w:val="35"/>
  </w:num>
  <w:num w:numId="44" w16cid:durableId="449863569">
    <w:abstractNumId w:val="15"/>
  </w:num>
  <w:num w:numId="45" w16cid:durableId="2021816238">
    <w:abstractNumId w:val="36"/>
  </w:num>
  <w:num w:numId="46" w16cid:durableId="709721250">
    <w:abstractNumId w:val="12"/>
  </w:num>
  <w:num w:numId="47" w16cid:durableId="489097413">
    <w:abstractNumId w:val="6"/>
  </w:num>
  <w:num w:numId="48" w16cid:durableId="21451368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D88"/>
    <w:rsid w:val="0000040E"/>
    <w:rsid w:val="00002B0F"/>
    <w:rsid w:val="00006AA8"/>
    <w:rsid w:val="0004164A"/>
    <w:rsid w:val="00043349"/>
    <w:rsid w:val="000446FB"/>
    <w:rsid w:val="0005274E"/>
    <w:rsid w:val="00054269"/>
    <w:rsid w:val="00061338"/>
    <w:rsid w:val="000670EA"/>
    <w:rsid w:val="00074AF6"/>
    <w:rsid w:val="000910FC"/>
    <w:rsid w:val="00091B33"/>
    <w:rsid w:val="000938F1"/>
    <w:rsid w:val="000A41B0"/>
    <w:rsid w:val="000A479B"/>
    <w:rsid w:val="000A77CB"/>
    <w:rsid w:val="000B544D"/>
    <w:rsid w:val="000C4BBC"/>
    <w:rsid w:val="000D04D2"/>
    <w:rsid w:val="000D4783"/>
    <w:rsid w:val="000E5805"/>
    <w:rsid w:val="000F5D99"/>
    <w:rsid w:val="001035A4"/>
    <w:rsid w:val="00110122"/>
    <w:rsid w:val="001102AD"/>
    <w:rsid w:val="0013472B"/>
    <w:rsid w:val="0016040A"/>
    <w:rsid w:val="00173021"/>
    <w:rsid w:val="00195D1A"/>
    <w:rsid w:val="001A0C6D"/>
    <w:rsid w:val="001B0D15"/>
    <w:rsid w:val="001B35B0"/>
    <w:rsid w:val="001C7636"/>
    <w:rsid w:val="001E4816"/>
    <w:rsid w:val="002060F2"/>
    <w:rsid w:val="00233DE7"/>
    <w:rsid w:val="00240C09"/>
    <w:rsid w:val="00242FC7"/>
    <w:rsid w:val="0026261D"/>
    <w:rsid w:val="00262921"/>
    <w:rsid w:val="002635C5"/>
    <w:rsid w:val="002649F2"/>
    <w:rsid w:val="00265596"/>
    <w:rsid w:val="002710B7"/>
    <w:rsid w:val="00272C5C"/>
    <w:rsid w:val="0028165C"/>
    <w:rsid w:val="0028582B"/>
    <w:rsid w:val="002A45F5"/>
    <w:rsid w:val="002C5EBF"/>
    <w:rsid w:val="002C602F"/>
    <w:rsid w:val="002D186D"/>
    <w:rsid w:val="002D3CA2"/>
    <w:rsid w:val="002D7BC2"/>
    <w:rsid w:val="0030288A"/>
    <w:rsid w:val="0032094E"/>
    <w:rsid w:val="00340E48"/>
    <w:rsid w:val="00346469"/>
    <w:rsid w:val="0035155C"/>
    <w:rsid w:val="0036230B"/>
    <w:rsid w:val="003623BE"/>
    <w:rsid w:val="0037421F"/>
    <w:rsid w:val="00375016"/>
    <w:rsid w:val="0037722A"/>
    <w:rsid w:val="0039033A"/>
    <w:rsid w:val="003A56F7"/>
    <w:rsid w:val="003A6FAD"/>
    <w:rsid w:val="003B0F80"/>
    <w:rsid w:val="003B7C22"/>
    <w:rsid w:val="003D1DD4"/>
    <w:rsid w:val="003E2897"/>
    <w:rsid w:val="003E583D"/>
    <w:rsid w:val="003E5BB6"/>
    <w:rsid w:val="003F692F"/>
    <w:rsid w:val="003F7BFE"/>
    <w:rsid w:val="004009FA"/>
    <w:rsid w:val="004069CF"/>
    <w:rsid w:val="00406DE2"/>
    <w:rsid w:val="00411482"/>
    <w:rsid w:val="0041753F"/>
    <w:rsid w:val="00424379"/>
    <w:rsid w:val="00427F5A"/>
    <w:rsid w:val="00432D70"/>
    <w:rsid w:val="00433598"/>
    <w:rsid w:val="00445DCB"/>
    <w:rsid w:val="00452202"/>
    <w:rsid w:val="004551DC"/>
    <w:rsid w:val="004579C8"/>
    <w:rsid w:val="00487392"/>
    <w:rsid w:val="0049541D"/>
    <w:rsid w:val="004A73D9"/>
    <w:rsid w:val="004B2867"/>
    <w:rsid w:val="004C6031"/>
    <w:rsid w:val="004D54A6"/>
    <w:rsid w:val="004E5008"/>
    <w:rsid w:val="004E5F97"/>
    <w:rsid w:val="004F24EE"/>
    <w:rsid w:val="0050206E"/>
    <w:rsid w:val="00516394"/>
    <w:rsid w:val="00521463"/>
    <w:rsid w:val="00527407"/>
    <w:rsid w:val="00532875"/>
    <w:rsid w:val="00537288"/>
    <w:rsid w:val="0054512E"/>
    <w:rsid w:val="00545939"/>
    <w:rsid w:val="00546BAF"/>
    <w:rsid w:val="0055658F"/>
    <w:rsid w:val="00567059"/>
    <w:rsid w:val="00571898"/>
    <w:rsid w:val="00583FC9"/>
    <w:rsid w:val="0059326A"/>
    <w:rsid w:val="0059374F"/>
    <w:rsid w:val="0059587B"/>
    <w:rsid w:val="005960C5"/>
    <w:rsid w:val="00597EA5"/>
    <w:rsid w:val="005A0DC2"/>
    <w:rsid w:val="005A42C8"/>
    <w:rsid w:val="005A6935"/>
    <w:rsid w:val="005C5D70"/>
    <w:rsid w:val="005F5DAC"/>
    <w:rsid w:val="00600BAE"/>
    <w:rsid w:val="00620E4C"/>
    <w:rsid w:val="00621DDB"/>
    <w:rsid w:val="0063264F"/>
    <w:rsid w:val="00635C03"/>
    <w:rsid w:val="00637146"/>
    <w:rsid w:val="0065629A"/>
    <w:rsid w:val="00676A2D"/>
    <w:rsid w:val="0068059D"/>
    <w:rsid w:val="006859FD"/>
    <w:rsid w:val="00693858"/>
    <w:rsid w:val="00696107"/>
    <w:rsid w:val="006B2541"/>
    <w:rsid w:val="006C2BA1"/>
    <w:rsid w:val="006C515A"/>
    <w:rsid w:val="006D1984"/>
    <w:rsid w:val="006E3287"/>
    <w:rsid w:val="006E6358"/>
    <w:rsid w:val="00704377"/>
    <w:rsid w:val="00714CB1"/>
    <w:rsid w:val="00717BEC"/>
    <w:rsid w:val="00722A78"/>
    <w:rsid w:val="0072491E"/>
    <w:rsid w:val="00730934"/>
    <w:rsid w:val="00730DBC"/>
    <w:rsid w:val="007340B8"/>
    <w:rsid w:val="00734D88"/>
    <w:rsid w:val="00736E1B"/>
    <w:rsid w:val="00737955"/>
    <w:rsid w:val="00744711"/>
    <w:rsid w:val="00753B5D"/>
    <w:rsid w:val="007563FA"/>
    <w:rsid w:val="00756E6B"/>
    <w:rsid w:val="0077266A"/>
    <w:rsid w:val="0079346B"/>
    <w:rsid w:val="0079595D"/>
    <w:rsid w:val="007B2295"/>
    <w:rsid w:val="007C2C06"/>
    <w:rsid w:val="007D2C0A"/>
    <w:rsid w:val="007F0FD8"/>
    <w:rsid w:val="00800AD0"/>
    <w:rsid w:val="00813D17"/>
    <w:rsid w:val="0082265B"/>
    <w:rsid w:val="00832F5F"/>
    <w:rsid w:val="00835337"/>
    <w:rsid w:val="0084613E"/>
    <w:rsid w:val="0084706F"/>
    <w:rsid w:val="0087674E"/>
    <w:rsid w:val="008837BF"/>
    <w:rsid w:val="00883B18"/>
    <w:rsid w:val="008930A7"/>
    <w:rsid w:val="00893985"/>
    <w:rsid w:val="0089586D"/>
    <w:rsid w:val="008A59A7"/>
    <w:rsid w:val="008A7573"/>
    <w:rsid w:val="008B4715"/>
    <w:rsid w:val="008B5368"/>
    <w:rsid w:val="008B5454"/>
    <w:rsid w:val="008B5764"/>
    <w:rsid w:val="008C4555"/>
    <w:rsid w:val="008E3F31"/>
    <w:rsid w:val="008F1658"/>
    <w:rsid w:val="008F6CC4"/>
    <w:rsid w:val="00911034"/>
    <w:rsid w:val="00912F83"/>
    <w:rsid w:val="00914AD5"/>
    <w:rsid w:val="00937B23"/>
    <w:rsid w:val="00952767"/>
    <w:rsid w:val="0095416D"/>
    <w:rsid w:val="00972D1B"/>
    <w:rsid w:val="0099009A"/>
    <w:rsid w:val="00995768"/>
    <w:rsid w:val="00995B66"/>
    <w:rsid w:val="009973CE"/>
    <w:rsid w:val="009A0943"/>
    <w:rsid w:val="009A0B4C"/>
    <w:rsid w:val="009A1757"/>
    <w:rsid w:val="009B0C50"/>
    <w:rsid w:val="009B7A11"/>
    <w:rsid w:val="009C55A4"/>
    <w:rsid w:val="009D2433"/>
    <w:rsid w:val="009D43E2"/>
    <w:rsid w:val="00A0115B"/>
    <w:rsid w:val="00A05940"/>
    <w:rsid w:val="00A14E9E"/>
    <w:rsid w:val="00A30003"/>
    <w:rsid w:val="00A33ACC"/>
    <w:rsid w:val="00A425E1"/>
    <w:rsid w:val="00A50859"/>
    <w:rsid w:val="00A54499"/>
    <w:rsid w:val="00A57FC1"/>
    <w:rsid w:val="00A73807"/>
    <w:rsid w:val="00A75C16"/>
    <w:rsid w:val="00A839FB"/>
    <w:rsid w:val="00A8582A"/>
    <w:rsid w:val="00A95D77"/>
    <w:rsid w:val="00AA4D73"/>
    <w:rsid w:val="00AB2C09"/>
    <w:rsid w:val="00AC517B"/>
    <w:rsid w:val="00AD0982"/>
    <w:rsid w:val="00AD0D8B"/>
    <w:rsid w:val="00AE1890"/>
    <w:rsid w:val="00AE3042"/>
    <w:rsid w:val="00AF7420"/>
    <w:rsid w:val="00B106FE"/>
    <w:rsid w:val="00B15F57"/>
    <w:rsid w:val="00B1657D"/>
    <w:rsid w:val="00B30DA8"/>
    <w:rsid w:val="00B37221"/>
    <w:rsid w:val="00B37FD3"/>
    <w:rsid w:val="00B43579"/>
    <w:rsid w:val="00B456F8"/>
    <w:rsid w:val="00B53380"/>
    <w:rsid w:val="00B66D5E"/>
    <w:rsid w:val="00B75973"/>
    <w:rsid w:val="00B835ED"/>
    <w:rsid w:val="00B87510"/>
    <w:rsid w:val="00B950BC"/>
    <w:rsid w:val="00B97298"/>
    <w:rsid w:val="00BA593D"/>
    <w:rsid w:val="00BB4E6E"/>
    <w:rsid w:val="00BB7A04"/>
    <w:rsid w:val="00BC5270"/>
    <w:rsid w:val="00BD71A0"/>
    <w:rsid w:val="00BD79E6"/>
    <w:rsid w:val="00BE7E35"/>
    <w:rsid w:val="00BF1C61"/>
    <w:rsid w:val="00BF4DF9"/>
    <w:rsid w:val="00BF7396"/>
    <w:rsid w:val="00C149A9"/>
    <w:rsid w:val="00C14EC9"/>
    <w:rsid w:val="00C3765D"/>
    <w:rsid w:val="00C52651"/>
    <w:rsid w:val="00C52BD8"/>
    <w:rsid w:val="00C5302A"/>
    <w:rsid w:val="00C76F24"/>
    <w:rsid w:val="00C953E6"/>
    <w:rsid w:val="00CA1927"/>
    <w:rsid w:val="00CC11A6"/>
    <w:rsid w:val="00CC5EBE"/>
    <w:rsid w:val="00CD368C"/>
    <w:rsid w:val="00CD4464"/>
    <w:rsid w:val="00CE1F24"/>
    <w:rsid w:val="00CE6EEE"/>
    <w:rsid w:val="00D06505"/>
    <w:rsid w:val="00D20F1D"/>
    <w:rsid w:val="00D26F13"/>
    <w:rsid w:val="00D33F18"/>
    <w:rsid w:val="00D446F8"/>
    <w:rsid w:val="00D465D9"/>
    <w:rsid w:val="00D5636E"/>
    <w:rsid w:val="00D66415"/>
    <w:rsid w:val="00D750AC"/>
    <w:rsid w:val="00D824FB"/>
    <w:rsid w:val="00D82A57"/>
    <w:rsid w:val="00D83852"/>
    <w:rsid w:val="00D9301B"/>
    <w:rsid w:val="00DA40EC"/>
    <w:rsid w:val="00DB06A1"/>
    <w:rsid w:val="00DE0DC1"/>
    <w:rsid w:val="00DE46B0"/>
    <w:rsid w:val="00DF3F6F"/>
    <w:rsid w:val="00DF7888"/>
    <w:rsid w:val="00E030CD"/>
    <w:rsid w:val="00E076AB"/>
    <w:rsid w:val="00E16E5B"/>
    <w:rsid w:val="00E236D9"/>
    <w:rsid w:val="00E23855"/>
    <w:rsid w:val="00E47D08"/>
    <w:rsid w:val="00E519A5"/>
    <w:rsid w:val="00E539CE"/>
    <w:rsid w:val="00E53A53"/>
    <w:rsid w:val="00E548E3"/>
    <w:rsid w:val="00E57A04"/>
    <w:rsid w:val="00E63152"/>
    <w:rsid w:val="00E67F71"/>
    <w:rsid w:val="00E760BA"/>
    <w:rsid w:val="00E94841"/>
    <w:rsid w:val="00EA0E10"/>
    <w:rsid w:val="00EC5650"/>
    <w:rsid w:val="00ED36D1"/>
    <w:rsid w:val="00EF23F5"/>
    <w:rsid w:val="00F0120E"/>
    <w:rsid w:val="00F03B51"/>
    <w:rsid w:val="00F060FE"/>
    <w:rsid w:val="00F0707F"/>
    <w:rsid w:val="00F073B3"/>
    <w:rsid w:val="00F07697"/>
    <w:rsid w:val="00F21090"/>
    <w:rsid w:val="00F31385"/>
    <w:rsid w:val="00F31C08"/>
    <w:rsid w:val="00F7138D"/>
    <w:rsid w:val="00F726EF"/>
    <w:rsid w:val="00FA06E2"/>
    <w:rsid w:val="00FB014B"/>
    <w:rsid w:val="00FC0F8A"/>
    <w:rsid w:val="00FC5E08"/>
    <w:rsid w:val="00FE08EA"/>
    <w:rsid w:val="00FE462A"/>
    <w:rsid w:val="00FE71FD"/>
    <w:rsid w:val="00FF5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6293E"/>
  <w15:docId w15:val="{F425570D-A424-47A2-BB17-984E125A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D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4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5805"/>
    <w:pPr>
      <w:ind w:left="720"/>
      <w:contextualSpacing/>
    </w:pPr>
  </w:style>
  <w:style w:type="paragraph" w:styleId="BodyText2">
    <w:name w:val="Body Text 2"/>
    <w:basedOn w:val="Normal"/>
    <w:link w:val="BodyText2Char"/>
    <w:rsid w:val="000E5805"/>
    <w:pPr>
      <w:spacing w:after="120" w:line="480" w:lineRule="auto"/>
      <w:jc w:val="left"/>
    </w:pPr>
    <w:rPr>
      <w:rFonts w:ascii="Arial" w:eastAsia="Times New Roman" w:hAnsi="Arial" w:cs="Times New Roman"/>
      <w:sz w:val="20"/>
      <w:szCs w:val="20"/>
      <w:lang w:val="en-US"/>
    </w:rPr>
  </w:style>
  <w:style w:type="character" w:customStyle="1" w:styleId="BodyText2Char">
    <w:name w:val="Body Text 2 Char"/>
    <w:basedOn w:val="DefaultParagraphFont"/>
    <w:link w:val="BodyText2"/>
    <w:rsid w:val="000E5805"/>
    <w:rPr>
      <w:rFonts w:ascii="Arial" w:eastAsia="Times New Roman" w:hAnsi="Arial" w:cs="Times New Roman"/>
      <w:sz w:val="20"/>
      <w:szCs w:val="20"/>
      <w:lang w:val="en-US"/>
    </w:rPr>
  </w:style>
  <w:style w:type="paragraph" w:customStyle="1" w:styleId="Default">
    <w:name w:val="Default"/>
    <w:rsid w:val="00B835ED"/>
    <w:pPr>
      <w:autoSpaceDE w:val="0"/>
      <w:autoSpaceDN w:val="0"/>
      <w:adjustRightInd w:val="0"/>
      <w:jc w:val="left"/>
    </w:pPr>
    <w:rPr>
      <w:rFonts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40479">
      <w:bodyDiv w:val="1"/>
      <w:marLeft w:val="0"/>
      <w:marRight w:val="0"/>
      <w:marTop w:val="0"/>
      <w:marBottom w:val="0"/>
      <w:divBdr>
        <w:top w:val="none" w:sz="0" w:space="0" w:color="auto"/>
        <w:left w:val="none" w:sz="0" w:space="0" w:color="auto"/>
        <w:bottom w:val="none" w:sz="0" w:space="0" w:color="auto"/>
        <w:right w:val="none" w:sz="0" w:space="0" w:color="auto"/>
      </w:divBdr>
    </w:div>
    <w:div w:id="634483662">
      <w:bodyDiv w:val="1"/>
      <w:marLeft w:val="0"/>
      <w:marRight w:val="0"/>
      <w:marTop w:val="0"/>
      <w:marBottom w:val="0"/>
      <w:divBdr>
        <w:top w:val="none" w:sz="0" w:space="0" w:color="auto"/>
        <w:left w:val="none" w:sz="0" w:space="0" w:color="auto"/>
        <w:bottom w:val="none" w:sz="0" w:space="0" w:color="auto"/>
        <w:right w:val="none" w:sz="0" w:space="0" w:color="auto"/>
      </w:divBdr>
    </w:div>
    <w:div w:id="658846912">
      <w:bodyDiv w:val="1"/>
      <w:marLeft w:val="0"/>
      <w:marRight w:val="0"/>
      <w:marTop w:val="0"/>
      <w:marBottom w:val="0"/>
      <w:divBdr>
        <w:top w:val="none" w:sz="0" w:space="0" w:color="auto"/>
        <w:left w:val="none" w:sz="0" w:space="0" w:color="auto"/>
        <w:bottom w:val="none" w:sz="0" w:space="0" w:color="auto"/>
        <w:right w:val="none" w:sz="0" w:space="0" w:color="auto"/>
      </w:divBdr>
    </w:div>
    <w:div w:id="707341936">
      <w:bodyDiv w:val="1"/>
      <w:marLeft w:val="0"/>
      <w:marRight w:val="0"/>
      <w:marTop w:val="0"/>
      <w:marBottom w:val="0"/>
      <w:divBdr>
        <w:top w:val="none" w:sz="0" w:space="0" w:color="auto"/>
        <w:left w:val="none" w:sz="0" w:space="0" w:color="auto"/>
        <w:bottom w:val="none" w:sz="0" w:space="0" w:color="auto"/>
        <w:right w:val="none" w:sz="0" w:space="0" w:color="auto"/>
      </w:divBdr>
    </w:div>
    <w:div w:id="874465640">
      <w:bodyDiv w:val="1"/>
      <w:marLeft w:val="0"/>
      <w:marRight w:val="0"/>
      <w:marTop w:val="0"/>
      <w:marBottom w:val="0"/>
      <w:divBdr>
        <w:top w:val="none" w:sz="0" w:space="0" w:color="auto"/>
        <w:left w:val="none" w:sz="0" w:space="0" w:color="auto"/>
        <w:bottom w:val="none" w:sz="0" w:space="0" w:color="auto"/>
        <w:right w:val="none" w:sz="0" w:space="0" w:color="auto"/>
      </w:divBdr>
    </w:div>
    <w:div w:id="1029188097">
      <w:bodyDiv w:val="1"/>
      <w:marLeft w:val="0"/>
      <w:marRight w:val="0"/>
      <w:marTop w:val="0"/>
      <w:marBottom w:val="0"/>
      <w:divBdr>
        <w:top w:val="none" w:sz="0" w:space="0" w:color="auto"/>
        <w:left w:val="none" w:sz="0" w:space="0" w:color="auto"/>
        <w:bottom w:val="none" w:sz="0" w:space="0" w:color="auto"/>
        <w:right w:val="none" w:sz="0" w:space="0" w:color="auto"/>
      </w:divBdr>
    </w:div>
    <w:div w:id="1217280883">
      <w:bodyDiv w:val="1"/>
      <w:marLeft w:val="0"/>
      <w:marRight w:val="0"/>
      <w:marTop w:val="0"/>
      <w:marBottom w:val="0"/>
      <w:divBdr>
        <w:top w:val="none" w:sz="0" w:space="0" w:color="auto"/>
        <w:left w:val="none" w:sz="0" w:space="0" w:color="auto"/>
        <w:bottom w:val="none" w:sz="0" w:space="0" w:color="auto"/>
        <w:right w:val="none" w:sz="0" w:space="0" w:color="auto"/>
      </w:divBdr>
    </w:div>
    <w:div w:id="1408383128">
      <w:bodyDiv w:val="1"/>
      <w:marLeft w:val="0"/>
      <w:marRight w:val="0"/>
      <w:marTop w:val="0"/>
      <w:marBottom w:val="0"/>
      <w:divBdr>
        <w:top w:val="none" w:sz="0" w:space="0" w:color="auto"/>
        <w:left w:val="none" w:sz="0" w:space="0" w:color="auto"/>
        <w:bottom w:val="none" w:sz="0" w:space="0" w:color="auto"/>
        <w:right w:val="none" w:sz="0" w:space="0" w:color="auto"/>
      </w:divBdr>
    </w:div>
    <w:div w:id="1589919699">
      <w:bodyDiv w:val="1"/>
      <w:marLeft w:val="0"/>
      <w:marRight w:val="0"/>
      <w:marTop w:val="0"/>
      <w:marBottom w:val="0"/>
      <w:divBdr>
        <w:top w:val="none" w:sz="0" w:space="0" w:color="auto"/>
        <w:left w:val="none" w:sz="0" w:space="0" w:color="auto"/>
        <w:bottom w:val="none" w:sz="0" w:space="0" w:color="auto"/>
        <w:right w:val="none" w:sz="0" w:space="0" w:color="auto"/>
      </w:divBdr>
    </w:div>
    <w:div w:id="1796826309">
      <w:bodyDiv w:val="1"/>
      <w:marLeft w:val="0"/>
      <w:marRight w:val="0"/>
      <w:marTop w:val="0"/>
      <w:marBottom w:val="0"/>
      <w:divBdr>
        <w:top w:val="none" w:sz="0" w:space="0" w:color="auto"/>
        <w:left w:val="none" w:sz="0" w:space="0" w:color="auto"/>
        <w:bottom w:val="none" w:sz="0" w:space="0" w:color="auto"/>
        <w:right w:val="none" w:sz="0" w:space="0" w:color="auto"/>
      </w:divBdr>
    </w:div>
    <w:div w:id="1909337812">
      <w:bodyDiv w:val="1"/>
      <w:marLeft w:val="0"/>
      <w:marRight w:val="0"/>
      <w:marTop w:val="0"/>
      <w:marBottom w:val="0"/>
      <w:divBdr>
        <w:top w:val="none" w:sz="0" w:space="0" w:color="auto"/>
        <w:left w:val="none" w:sz="0" w:space="0" w:color="auto"/>
        <w:bottom w:val="none" w:sz="0" w:space="0" w:color="auto"/>
        <w:right w:val="none" w:sz="0" w:space="0" w:color="auto"/>
      </w:divBdr>
    </w:div>
    <w:div w:id="1985507748">
      <w:bodyDiv w:val="1"/>
      <w:marLeft w:val="0"/>
      <w:marRight w:val="0"/>
      <w:marTop w:val="0"/>
      <w:marBottom w:val="0"/>
      <w:divBdr>
        <w:top w:val="none" w:sz="0" w:space="0" w:color="auto"/>
        <w:left w:val="none" w:sz="0" w:space="0" w:color="auto"/>
        <w:bottom w:val="none" w:sz="0" w:space="0" w:color="auto"/>
        <w:right w:val="none" w:sz="0" w:space="0" w:color="auto"/>
      </w:divBdr>
    </w:div>
    <w:div w:id="207828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08CEA-73AB-4397-A8B2-47CFBBD9B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NSDC</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jennybu</dc:creator>
  <cp:lastModifiedBy>Jenny Burden</cp:lastModifiedBy>
  <cp:revision>2</cp:revision>
  <cp:lastPrinted>2012-02-03T11:25:00Z</cp:lastPrinted>
  <dcterms:created xsi:type="dcterms:W3CDTF">2023-03-24T13:02:00Z</dcterms:created>
  <dcterms:modified xsi:type="dcterms:W3CDTF">2023-03-24T13:02:00Z</dcterms:modified>
</cp:coreProperties>
</file>